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F4" w:rsidRPr="001447F4" w:rsidRDefault="001447F4" w:rsidP="00020212">
      <w:pPr>
        <w:pStyle w:val="NormalWeb"/>
        <w:jc w:val="center"/>
        <w:rPr>
          <w:color w:val="663300"/>
          <w:sz w:val="56"/>
          <w:szCs w:val="56"/>
        </w:rPr>
      </w:pPr>
      <w:proofErr w:type="spellStart"/>
      <w:r w:rsidRPr="001447F4">
        <w:rPr>
          <w:color w:val="663300"/>
          <w:sz w:val="56"/>
          <w:szCs w:val="56"/>
        </w:rPr>
        <w:t>Indice</w:t>
      </w:r>
      <w:proofErr w:type="spellEnd"/>
    </w:p>
    <w:p w:rsidR="001447F4" w:rsidRDefault="001447F4" w:rsidP="001447F4">
      <w:pPr>
        <w:pStyle w:val="NormalWeb"/>
        <w:jc w:val="both"/>
        <w:rPr>
          <w:color w:val="663300"/>
        </w:rPr>
      </w:pPr>
    </w:p>
    <w:p w:rsidR="001447F4" w:rsidRPr="001447F4" w:rsidRDefault="001447F4" w:rsidP="001447F4">
      <w:pPr>
        <w:pStyle w:val="NormalWeb"/>
        <w:tabs>
          <w:tab w:val="right" w:leader="dot" w:pos="8505"/>
        </w:tabs>
        <w:jc w:val="both"/>
        <w:rPr>
          <w:b/>
          <w:bCs/>
          <w:iCs/>
          <w:color w:val="663300"/>
          <w:lang w:val="en-US"/>
        </w:rPr>
      </w:pPr>
      <w:proofErr w:type="spellStart"/>
      <w:r w:rsidRPr="001447F4">
        <w:rPr>
          <w:b/>
          <w:color w:val="663300"/>
          <w:lang w:val="en-US"/>
        </w:rPr>
        <w:t>Motu</w:t>
      </w:r>
      <w:proofErr w:type="spellEnd"/>
      <w:r w:rsidRPr="001447F4">
        <w:rPr>
          <w:b/>
          <w:color w:val="663300"/>
          <w:lang w:val="en-US"/>
        </w:rPr>
        <w:t xml:space="preserve"> </w:t>
      </w:r>
      <w:r w:rsidRPr="001447F4">
        <w:rPr>
          <w:b/>
          <w:bCs/>
          <w:iCs/>
          <w:caps/>
          <w:color w:val="663300"/>
          <w:lang w:val="en-US"/>
        </w:rPr>
        <w:t>Omnium in mentem</w:t>
      </w:r>
      <w:r w:rsidRPr="001447F4">
        <w:rPr>
          <w:b/>
          <w:bCs/>
          <w:iCs/>
          <w:color w:val="663300"/>
          <w:lang w:val="en-US"/>
        </w:rPr>
        <w:t xml:space="preserve"> </w:t>
      </w:r>
      <w:r w:rsidRPr="001447F4">
        <w:rPr>
          <w:b/>
          <w:bCs/>
          <w:iCs/>
          <w:color w:val="663300"/>
          <w:lang w:val="en-US"/>
        </w:rPr>
        <w:tab/>
        <w:t>2 – 4</w:t>
      </w:r>
    </w:p>
    <w:p w:rsidR="001447F4" w:rsidRDefault="001447F4" w:rsidP="001447F4">
      <w:pPr>
        <w:pStyle w:val="NormalWeb"/>
        <w:tabs>
          <w:tab w:val="right" w:leader="dot" w:pos="8505"/>
        </w:tabs>
        <w:jc w:val="both"/>
        <w:rPr>
          <w:b/>
          <w:bCs/>
          <w:iCs/>
          <w:color w:val="663300"/>
        </w:rPr>
      </w:pPr>
      <w:proofErr w:type="spellStart"/>
      <w:r w:rsidRPr="001447F4">
        <w:rPr>
          <w:b/>
          <w:bCs/>
          <w:iCs/>
          <w:color w:val="663300"/>
          <w:lang w:val="en-US"/>
        </w:rPr>
        <w:t>Motu</w:t>
      </w:r>
      <w:proofErr w:type="spellEnd"/>
      <w:r w:rsidRPr="001447F4">
        <w:rPr>
          <w:b/>
          <w:bCs/>
          <w:iCs/>
          <w:color w:val="663300"/>
          <w:lang w:val="en-US"/>
        </w:rPr>
        <w:t xml:space="preserve"> </w:t>
      </w:r>
      <w:r w:rsidRPr="001447F4">
        <w:rPr>
          <w:b/>
          <w:bCs/>
          <w:iCs/>
          <w:color w:val="663300"/>
        </w:rPr>
        <w:t xml:space="preserve">QUAERIT SEMPER </w:t>
      </w:r>
      <w:r>
        <w:rPr>
          <w:b/>
          <w:bCs/>
          <w:iCs/>
          <w:color w:val="663300"/>
        </w:rPr>
        <w:tab/>
      </w:r>
      <w:r w:rsidRPr="001447F4">
        <w:rPr>
          <w:b/>
          <w:bCs/>
          <w:iCs/>
          <w:color w:val="663300"/>
        </w:rPr>
        <w:t xml:space="preserve">5 </w:t>
      </w:r>
      <w:r>
        <w:rPr>
          <w:b/>
          <w:bCs/>
          <w:iCs/>
          <w:color w:val="663300"/>
        </w:rPr>
        <w:t>–</w:t>
      </w:r>
      <w:r w:rsidRPr="001447F4">
        <w:rPr>
          <w:b/>
          <w:bCs/>
          <w:iCs/>
          <w:color w:val="663300"/>
        </w:rPr>
        <w:t xml:space="preserve"> 6</w:t>
      </w:r>
    </w:p>
    <w:p w:rsidR="001447F4" w:rsidRPr="001447F4" w:rsidRDefault="001447F4" w:rsidP="001447F4">
      <w:pPr>
        <w:pStyle w:val="NormalWeb"/>
        <w:tabs>
          <w:tab w:val="right" w:leader="dot" w:pos="8505"/>
        </w:tabs>
        <w:jc w:val="both"/>
        <w:rPr>
          <w:b/>
        </w:rPr>
      </w:pPr>
    </w:p>
    <w:p w:rsidR="001447F4" w:rsidRPr="001447F4" w:rsidRDefault="001447F4" w:rsidP="001447F4">
      <w:pPr>
        <w:pStyle w:val="NormalWeb"/>
        <w:tabs>
          <w:tab w:val="right" w:leader="dot" w:pos="8505"/>
        </w:tabs>
        <w:rPr>
          <w:lang w:val="en-US"/>
        </w:rPr>
      </w:pPr>
    </w:p>
    <w:p w:rsidR="001447F4" w:rsidRPr="001447F4" w:rsidRDefault="001447F4">
      <w:pPr>
        <w:rPr>
          <w:rFonts w:ascii="Times New Roman" w:eastAsia="Times New Roman" w:hAnsi="Times New Roman" w:cs="Times New Roman"/>
          <w:color w:val="663300"/>
          <w:sz w:val="24"/>
          <w:szCs w:val="24"/>
          <w:lang w:val="en-US" w:eastAsia="es-ES"/>
        </w:rPr>
      </w:pPr>
      <w:r w:rsidRPr="001447F4">
        <w:rPr>
          <w:color w:val="663300"/>
          <w:lang w:val="en-US"/>
        </w:rPr>
        <w:br w:type="page"/>
      </w:r>
    </w:p>
    <w:p w:rsidR="001447F4" w:rsidRPr="001447F4" w:rsidRDefault="001447F4" w:rsidP="00020212">
      <w:pPr>
        <w:pStyle w:val="NormalWeb"/>
        <w:jc w:val="center"/>
        <w:rPr>
          <w:color w:val="663300"/>
          <w:lang w:val="en-US"/>
        </w:rPr>
      </w:pPr>
    </w:p>
    <w:p w:rsidR="00020212" w:rsidRDefault="00020212" w:rsidP="00020212">
      <w:pPr>
        <w:pStyle w:val="NormalWeb"/>
        <w:jc w:val="center"/>
      </w:pPr>
      <w:r>
        <w:rPr>
          <w:color w:val="663300"/>
        </w:rPr>
        <w:t>CARTA APOSTÓLICA EN FORMA DE «MOTU PROPRIO»</w:t>
      </w:r>
    </w:p>
    <w:p w:rsidR="00020212" w:rsidRDefault="00020212" w:rsidP="00020212">
      <w:pPr>
        <w:pStyle w:val="NormalWeb"/>
        <w:jc w:val="center"/>
      </w:pPr>
      <w:r>
        <w:rPr>
          <w:b/>
          <w:bCs/>
          <w:i/>
          <w:iCs/>
          <w:color w:val="663300"/>
          <w:sz w:val="27"/>
          <w:szCs w:val="27"/>
        </w:rPr>
        <w:t>OMNIUM IN MENTEM</w:t>
      </w:r>
    </w:p>
    <w:p w:rsidR="00020212" w:rsidRDefault="00020212" w:rsidP="00020212">
      <w:pPr>
        <w:pStyle w:val="NormalWeb"/>
        <w:jc w:val="center"/>
      </w:pPr>
      <w:r>
        <w:rPr>
          <w:color w:val="663300"/>
        </w:rPr>
        <w:t>DEL SUMO PONTÍFICE BENEDICTO XVI</w:t>
      </w:r>
      <w:r>
        <w:rPr>
          <w:color w:val="663300"/>
        </w:rPr>
        <w:br/>
        <w:t xml:space="preserve">CON LA CUAL SE MODIFICAN </w:t>
      </w:r>
      <w:r>
        <w:rPr>
          <w:color w:val="663300"/>
        </w:rPr>
        <w:br/>
        <w:t>ALGUNAS NORMAS DEL CÓDIGO DE DERECHO CANÓNICO</w:t>
      </w:r>
    </w:p>
    <w:p w:rsidR="00020212" w:rsidRDefault="00020212" w:rsidP="00020212">
      <w:pPr>
        <w:pStyle w:val="NormalWeb"/>
      </w:pPr>
      <w:r>
        <w:t> </w:t>
      </w:r>
    </w:p>
    <w:p w:rsidR="00020212" w:rsidRPr="00DC7A1D" w:rsidRDefault="00020212" w:rsidP="00020212">
      <w:pPr>
        <w:pStyle w:val="NormalWeb"/>
        <w:jc w:val="both"/>
        <w:rPr>
          <w:b/>
        </w:rPr>
      </w:pPr>
      <w:r>
        <w:t xml:space="preserve">La constitución apostólica </w:t>
      </w:r>
      <w:hyperlink r:id="rId6" w:history="1">
        <w:proofErr w:type="spellStart"/>
        <w:r>
          <w:rPr>
            <w:rStyle w:val="Hipervnculo"/>
            <w:i/>
            <w:iCs/>
          </w:rPr>
          <w:t>Sacrae</w:t>
        </w:r>
        <w:proofErr w:type="spellEnd"/>
        <w:r>
          <w:rPr>
            <w:rStyle w:val="Hipervnculo"/>
            <w:i/>
            <w:iCs/>
          </w:rPr>
          <w:t xml:space="preserve"> </w:t>
        </w:r>
        <w:proofErr w:type="spellStart"/>
        <w:r>
          <w:rPr>
            <w:rStyle w:val="Hipervnculo"/>
            <w:i/>
            <w:iCs/>
          </w:rPr>
          <w:t>disciplinae</w:t>
        </w:r>
        <w:proofErr w:type="spellEnd"/>
        <w:r>
          <w:rPr>
            <w:rStyle w:val="Hipervnculo"/>
            <w:i/>
            <w:iCs/>
          </w:rPr>
          <w:t xml:space="preserve"> </w:t>
        </w:r>
        <w:proofErr w:type="spellStart"/>
        <w:r>
          <w:rPr>
            <w:rStyle w:val="Hipervnculo"/>
            <w:i/>
            <w:iCs/>
          </w:rPr>
          <w:t>leges</w:t>
        </w:r>
        <w:proofErr w:type="spellEnd"/>
      </w:hyperlink>
      <w:r>
        <w:rPr>
          <w:i/>
          <w:iCs/>
        </w:rPr>
        <w:t xml:space="preserve">, </w:t>
      </w:r>
      <w:r>
        <w:t xml:space="preserve">promulgada el 25 de enero de 1983, llamó la atención de todos sobre el hecho de que la Iglesia, en cuanto comunidad al mismo tiempo espiritual y visible, y ordenada jerárquicamente, necesita normas jurídicas «para que el ejercicio de las funciones que le han sido confiadas divinamente, sobre todo la de la sagrada potestad y la de la administración de los sacramentos, se lleve a cabo de forma adecuada». En esas normas es necesario que resplandezca siempre, por una parte, la unidad de la doctrina teológica y de la legislación canónica y, por otra, la utilidad pastoral de las prescripciones, mediante las cuales </w:t>
      </w:r>
      <w:r w:rsidRPr="00DC7A1D">
        <w:rPr>
          <w:b/>
        </w:rPr>
        <w:t xml:space="preserve">las disposiciones eclesiásticas están ordenadas al bien de las almas. </w:t>
      </w:r>
    </w:p>
    <w:p w:rsidR="00020212" w:rsidRDefault="00020212" w:rsidP="00020212">
      <w:pPr>
        <w:pStyle w:val="NormalWeb"/>
        <w:jc w:val="both"/>
      </w:pPr>
      <w:r>
        <w:t xml:space="preserve">A fin de garantizar más eficazmente tanto esta necesaria unidad doctrinal como la finalidad pastoral, a veces la autoridad suprema de la Iglesia, después de ponderar las razones, decide los cambios oportunos de las normas canónicas, o introduce en ellas alguna integración. Esta es la razón que nos lleva a redactar la presente Carta, que concierne a dos cuestiones. </w:t>
      </w:r>
    </w:p>
    <w:p w:rsidR="00020212" w:rsidRPr="00DC7A1D" w:rsidRDefault="00020212" w:rsidP="00020212">
      <w:pPr>
        <w:pStyle w:val="NormalWeb"/>
        <w:jc w:val="both"/>
        <w:rPr>
          <w:b/>
        </w:rPr>
      </w:pPr>
      <w:r>
        <w:t xml:space="preserve">En primer lugar, en los </w:t>
      </w:r>
      <w:r w:rsidRPr="00DC7A1D">
        <w:t xml:space="preserve">cánones </w:t>
      </w:r>
      <w:hyperlink r:id="rId7" w:history="1">
        <w:r w:rsidRPr="00DC7A1D">
          <w:rPr>
            <w:rStyle w:val="Hipervnculo"/>
          </w:rPr>
          <w:t xml:space="preserve">1008 y 1009 del </w:t>
        </w:r>
        <w:r w:rsidRPr="00DC7A1D">
          <w:rPr>
            <w:rStyle w:val="Hipervnculo"/>
            <w:i/>
            <w:iCs/>
          </w:rPr>
          <w:t>Código de derecho canónico</w:t>
        </w:r>
      </w:hyperlink>
      <w:r>
        <w:rPr>
          <w:i/>
          <w:iCs/>
        </w:rPr>
        <w:t xml:space="preserve"> </w:t>
      </w:r>
      <w:r>
        <w:t xml:space="preserve">sobre el sacramento  del Orden, se confirma  la  distinción  esencial entre el sacerdocio común de los fieles y el sacerdocio ministerial y, al mismo tiempo, se pone en relieve la diferencia entre episcopado, presbiterado y diaconado. Ahora, en cambio, después de que, habiendo oído a los padres de la Congregación para la doctrina de la fe, nuestro venerado predecesor Juan Pablo II estableció que se debía modificar el texto del número 875 del </w:t>
      </w:r>
      <w:hyperlink r:id="rId8" w:history="1">
        <w:r>
          <w:rPr>
            <w:rStyle w:val="Hipervnculo"/>
            <w:i/>
            <w:iCs/>
          </w:rPr>
          <w:t>Catecismo de la Iglesia católica</w:t>
        </w:r>
      </w:hyperlink>
      <w:r>
        <w:rPr>
          <w:i/>
          <w:iCs/>
        </w:rPr>
        <w:t xml:space="preserve">, </w:t>
      </w:r>
      <w:r>
        <w:t xml:space="preserve">con el fin de retomar más adecuadamente la doctrina sobre los diáconos de la constitución dogmática </w:t>
      </w:r>
      <w:hyperlink r:id="rId9" w:history="1">
        <w:r>
          <w:rPr>
            <w:rStyle w:val="Hipervnculo"/>
            <w:i/>
            <w:iCs/>
          </w:rPr>
          <w:t xml:space="preserve">Lumen </w:t>
        </w:r>
        <w:proofErr w:type="spellStart"/>
        <w:r>
          <w:rPr>
            <w:rStyle w:val="Hipervnculo"/>
            <w:i/>
            <w:iCs/>
          </w:rPr>
          <w:t>gentium</w:t>
        </w:r>
        <w:proofErr w:type="spellEnd"/>
      </w:hyperlink>
      <w:r>
        <w:rPr>
          <w:i/>
          <w:iCs/>
        </w:rPr>
        <w:t xml:space="preserve"> </w:t>
      </w:r>
      <w:r>
        <w:t xml:space="preserve">(n. 29) del concilio Vaticano II, también Nos consideramos que se debe perfeccionar la norma canónica que atañe a esta misma materia. Por lo tanto, oído el parecer del Consejo pontificio para los textos legislativos, </w:t>
      </w:r>
      <w:r w:rsidRPr="00DC7A1D">
        <w:t>establecemos que las palabras de dichos cánones se modifiquen como se indica sucesivamente</w:t>
      </w:r>
      <w:r w:rsidRPr="00DC7A1D">
        <w:rPr>
          <w:b/>
        </w:rPr>
        <w:t xml:space="preserve">. </w:t>
      </w:r>
    </w:p>
    <w:p w:rsidR="00020212" w:rsidRDefault="00020212" w:rsidP="00020212">
      <w:pPr>
        <w:pStyle w:val="NormalWeb"/>
        <w:jc w:val="both"/>
      </w:pPr>
      <w:r>
        <w:t xml:space="preserve">Además, dado que los sacramentos son los mismos para toda la Iglesia, compete únicamente a la autoridad suprema aprobar y definir los requisitos para su validez, y también determinar lo que se refiere al rito que es necesario observar en la celebración de los mismos (cf. </w:t>
      </w:r>
      <w:hyperlink r:id="rId10" w:history="1">
        <w:r>
          <w:rPr>
            <w:rStyle w:val="Hipervnculo"/>
          </w:rPr>
          <w:t>can. 841</w:t>
        </w:r>
      </w:hyperlink>
      <w:r>
        <w:t xml:space="preserve">), todo lo cual ciertamente vale también para la </w:t>
      </w:r>
      <w:r w:rsidRPr="00304CBE">
        <w:rPr>
          <w:b/>
          <w:highlight w:val="yellow"/>
        </w:rPr>
        <w:t>forma que debe observarse en la celebración del matrimonio,</w:t>
      </w:r>
      <w:r w:rsidRPr="00DC7A1D">
        <w:rPr>
          <w:b/>
        </w:rPr>
        <w:t xml:space="preserve"> </w:t>
      </w:r>
      <w:r>
        <w:t xml:space="preserve">si al menos uno de los contrayentes ha sido bautizado en la Iglesia católica (cf. </w:t>
      </w:r>
      <w:proofErr w:type="spellStart"/>
      <w:r>
        <w:t>cann</w:t>
      </w:r>
      <w:proofErr w:type="spellEnd"/>
      <w:r>
        <w:t xml:space="preserve">. </w:t>
      </w:r>
      <w:hyperlink r:id="rId11" w:history="1">
        <w:r>
          <w:rPr>
            <w:rStyle w:val="Hipervnculo"/>
          </w:rPr>
          <w:t>11</w:t>
        </w:r>
      </w:hyperlink>
      <w:r>
        <w:t xml:space="preserve"> y </w:t>
      </w:r>
      <w:hyperlink r:id="rId12" w:history="1">
        <w:r>
          <w:rPr>
            <w:rStyle w:val="Hipervnculo"/>
          </w:rPr>
          <w:t>1108</w:t>
        </w:r>
      </w:hyperlink>
      <w:r>
        <w:t xml:space="preserve">). </w:t>
      </w:r>
    </w:p>
    <w:p w:rsidR="00020212" w:rsidRDefault="00020212" w:rsidP="00020212">
      <w:pPr>
        <w:pStyle w:val="NormalWeb"/>
        <w:jc w:val="both"/>
      </w:pPr>
      <w:r>
        <w:t xml:space="preserve">El </w:t>
      </w:r>
      <w:r>
        <w:rPr>
          <w:i/>
          <w:iCs/>
        </w:rPr>
        <w:t xml:space="preserve">Código de derecho canónico </w:t>
      </w:r>
      <w:r>
        <w:t xml:space="preserve">establece, sin embargo, que </w:t>
      </w:r>
      <w:r w:rsidRPr="00DC7A1D">
        <w:rPr>
          <w:b/>
        </w:rPr>
        <w:t xml:space="preserve">los fieles que se han separado de la Iglesia por "acto formal", no están sujetos a las leyes eclesiásticas </w:t>
      </w:r>
      <w:r w:rsidRPr="00DC7A1D">
        <w:rPr>
          <w:b/>
        </w:rPr>
        <w:lastRenderedPageBreak/>
        <w:t xml:space="preserve">relativas a la forma canónica del matrimonio (cf. </w:t>
      </w:r>
      <w:hyperlink r:id="rId13" w:history="1">
        <w:r w:rsidRPr="00DC7A1D">
          <w:rPr>
            <w:rStyle w:val="Hipervnculo"/>
            <w:b/>
          </w:rPr>
          <w:t>can. 1117</w:t>
        </w:r>
      </w:hyperlink>
      <w:r w:rsidRPr="00DC7A1D">
        <w:rPr>
          <w:b/>
        </w:rPr>
        <w:t xml:space="preserve">), a la dispensa del impedimento de disparidad de culto (cf. </w:t>
      </w:r>
      <w:hyperlink r:id="rId14" w:history="1">
        <w:r w:rsidRPr="00DC7A1D">
          <w:rPr>
            <w:rStyle w:val="Hipervnculo"/>
            <w:b/>
          </w:rPr>
          <w:t>can. 1086</w:t>
        </w:r>
      </w:hyperlink>
      <w:r w:rsidRPr="00DC7A1D">
        <w:rPr>
          <w:b/>
        </w:rPr>
        <w:t xml:space="preserve">) y a la licencia requerida para los matrimonios mixtos (cf. </w:t>
      </w:r>
      <w:hyperlink r:id="rId15" w:history="1">
        <w:r w:rsidRPr="00DC7A1D">
          <w:rPr>
            <w:rStyle w:val="Hipervnculo"/>
            <w:b/>
          </w:rPr>
          <w:t>can. 1124</w:t>
        </w:r>
      </w:hyperlink>
      <w:r w:rsidRPr="00DC7A1D">
        <w:rPr>
          <w:b/>
        </w:rPr>
        <w:t>).</w:t>
      </w:r>
      <w:r>
        <w:t xml:space="preserve"> La razón y el fin de esta excepción a la norma general del </w:t>
      </w:r>
      <w:hyperlink r:id="rId16" w:history="1">
        <w:r>
          <w:rPr>
            <w:rStyle w:val="Hipervnculo"/>
          </w:rPr>
          <w:t>canon 11</w:t>
        </w:r>
      </w:hyperlink>
      <w:r>
        <w:t xml:space="preserve"> </w:t>
      </w:r>
      <w:proofErr w:type="gramStart"/>
      <w:r>
        <w:t>tenía</w:t>
      </w:r>
      <w:proofErr w:type="gramEnd"/>
      <w:r>
        <w:t xml:space="preserve"> como finalidad evitar que los matrimonios contraídos por aquellos fieles fuesen nulos por defecto de forma, o bien por impedimento de disparidad de culto. </w:t>
      </w:r>
    </w:p>
    <w:p w:rsidR="00020212" w:rsidRDefault="00020212" w:rsidP="00020212">
      <w:pPr>
        <w:pStyle w:val="NormalWeb"/>
        <w:jc w:val="both"/>
      </w:pPr>
      <w:r>
        <w:t xml:space="preserve">Con todo, la experiencia de estos años ha mostrado, por el contrario, que esta nueva ley ha generado no pocos problemas pastorales. En primer lugar, ha parecido difícil la determinación y la configuración práctica, en los casos particulares, de este </w:t>
      </w:r>
      <w:r>
        <w:rPr>
          <w:i/>
          <w:iCs/>
        </w:rPr>
        <w:t xml:space="preserve">acto formal de separación </w:t>
      </w:r>
      <w:r>
        <w:t xml:space="preserve">de la Iglesia, sea en cuanto a su sustancia teológica, sea en cuanto al aspecto canónico. Además, han surgido muchas dificultades tanto en la acción pastoral como en la praxis de los tribunales. De hecho, se observaba que de la nueva ley parecían derivar, al menos indirectamente, una cierta facilidad o, por decir así, un incentivo a la apostasía en aquellos lugares donde los fieles católicos son escasos en número, o donde rigen leyes matrimoniales injustas, que establecen discriminaciones entre los ciudadanos por motivos religiosos; además, esa nueva ley hacía difícil el retorno de aquellos bautizados que deseaban vivamente contraer un nuevo matrimonio canónico, después del fracaso del anterior; por último, omitiendo otras cosas, para la Iglesia muchísimos de estos matrimonios se convertían de hecho en matrimonios denominados clandestinos. </w:t>
      </w:r>
    </w:p>
    <w:p w:rsidR="00020212" w:rsidRDefault="00020212" w:rsidP="00020212">
      <w:pPr>
        <w:pStyle w:val="NormalWeb"/>
        <w:jc w:val="both"/>
      </w:pPr>
      <w:r>
        <w:t xml:space="preserve">Considerado todo esto, y evaluados cuidadosamente los pareceres tanto de los padres de la Congregación para la doctrina de la fe y del Consejo pontificio para los textos legislativos, como también de las Conferencias episcopales que han sido consultadas sobre la utilidad pastoral de conservar o abrogar esta excepción a la norma general del </w:t>
      </w:r>
      <w:hyperlink r:id="rId17" w:history="1">
        <w:r>
          <w:rPr>
            <w:rStyle w:val="Hipervnculo"/>
          </w:rPr>
          <w:t>canon 11</w:t>
        </w:r>
      </w:hyperlink>
      <w:r>
        <w:t xml:space="preserve">, ha parecido necesario abolir esta regla introducida en el cuerpo de las leyes canónicas actualmente vigente. </w:t>
      </w:r>
    </w:p>
    <w:p w:rsidR="00020212" w:rsidRDefault="00020212" w:rsidP="00020212">
      <w:pPr>
        <w:pStyle w:val="NormalWeb"/>
        <w:jc w:val="both"/>
      </w:pPr>
      <w:r>
        <w:t xml:space="preserve">Establecemos, por lo tanto, eliminar del mismo </w:t>
      </w:r>
      <w:r>
        <w:rPr>
          <w:i/>
          <w:iCs/>
        </w:rPr>
        <w:t xml:space="preserve">Código </w:t>
      </w:r>
      <w:r>
        <w:t>las palabras:</w:t>
      </w:r>
      <w:proofErr w:type="gramStart"/>
      <w:r>
        <w:t>  «</w:t>
      </w:r>
      <w:proofErr w:type="gramEnd"/>
      <w:r>
        <w:t xml:space="preserve">y no se ha apartado de ella por acto formal» del </w:t>
      </w:r>
      <w:hyperlink r:id="rId18" w:history="1">
        <w:r>
          <w:rPr>
            <w:rStyle w:val="Hipervnculo"/>
          </w:rPr>
          <w:t>canon 1117</w:t>
        </w:r>
      </w:hyperlink>
      <w:r>
        <w:t xml:space="preserve">, «y no se ha apartado de ella por acto formal» del canon </w:t>
      </w:r>
      <w:hyperlink r:id="rId19" w:history="1">
        <w:r>
          <w:rPr>
            <w:rStyle w:val="Hipervnculo"/>
          </w:rPr>
          <w:t>1086</w:t>
        </w:r>
      </w:hyperlink>
      <w:r>
        <w:t xml:space="preserve"> §1, como también «y no se haya apartado de ella mediante un acto formal» del canon </w:t>
      </w:r>
      <w:hyperlink r:id="rId20" w:history="1">
        <w:r>
          <w:rPr>
            <w:rStyle w:val="Hipervnculo"/>
          </w:rPr>
          <w:t>1124</w:t>
        </w:r>
      </w:hyperlink>
      <w:r>
        <w:t xml:space="preserve">. </w:t>
      </w:r>
    </w:p>
    <w:p w:rsidR="00020212" w:rsidRPr="00DC7A1D" w:rsidRDefault="00020212" w:rsidP="00020212">
      <w:pPr>
        <w:pStyle w:val="NormalWeb"/>
        <w:jc w:val="both"/>
        <w:rPr>
          <w:b/>
        </w:rPr>
      </w:pPr>
      <w:r>
        <w:t xml:space="preserve">Por eso, habiendo oído al respecto a la Congregación para la doctrina de la fe y al Consejo pontificio para los textos legislativos y pedido también el parecer de nuestros venerables hermanos cardenales de la santa Iglesia romana responsables de los </w:t>
      </w:r>
      <w:proofErr w:type="spellStart"/>
      <w:r>
        <w:t>dicasterios</w:t>
      </w:r>
      <w:proofErr w:type="spellEnd"/>
      <w:r>
        <w:t xml:space="preserve"> de la Curia romana, </w:t>
      </w:r>
      <w:r w:rsidRPr="00DC7A1D">
        <w:rPr>
          <w:b/>
        </w:rPr>
        <w:t xml:space="preserve">establecemos cuanto sigue:  </w:t>
      </w:r>
    </w:p>
    <w:p w:rsidR="00020212" w:rsidRDefault="00020212" w:rsidP="00020212">
      <w:pPr>
        <w:pStyle w:val="NormalWeb"/>
        <w:jc w:val="both"/>
      </w:pPr>
      <w:r>
        <w:rPr>
          <w:i/>
          <w:iCs/>
        </w:rPr>
        <w:t>Art 1</w:t>
      </w:r>
      <w:r>
        <w:t xml:space="preserve">. El texto del </w:t>
      </w:r>
      <w:hyperlink r:id="rId21" w:history="1">
        <w:r>
          <w:rPr>
            <w:rStyle w:val="Hipervnculo"/>
          </w:rPr>
          <w:t>canon 1008</w:t>
        </w:r>
      </w:hyperlink>
      <w:r>
        <w:t xml:space="preserve"> del </w:t>
      </w:r>
      <w:r>
        <w:rPr>
          <w:i/>
          <w:iCs/>
        </w:rPr>
        <w:t xml:space="preserve">Código de derecho canónico </w:t>
      </w:r>
      <w:r>
        <w:t xml:space="preserve">se ha de modificar de manera que, de ahora en adelante, resulte así:  </w:t>
      </w:r>
    </w:p>
    <w:p w:rsidR="00020212" w:rsidRDefault="00020212" w:rsidP="00020212">
      <w:pPr>
        <w:pStyle w:val="NormalWeb"/>
        <w:jc w:val="both"/>
      </w:pPr>
      <w:r>
        <w:t xml:space="preserve">«Mediante el sacramento del Orden, por institución divina, algunos de entre los fieles quedan constituidos ministros sagrados, al ser marcados con un carácter indeleble, y así son consagrados y destinados a servir, según el grado de cada uno, con nuevo y peculiar título, al pueblo de Dios». </w:t>
      </w:r>
    </w:p>
    <w:p w:rsidR="00020212" w:rsidRDefault="00020212" w:rsidP="00020212">
      <w:pPr>
        <w:pStyle w:val="NormalWeb"/>
        <w:jc w:val="both"/>
      </w:pPr>
      <w:r>
        <w:rPr>
          <w:i/>
          <w:iCs/>
        </w:rPr>
        <w:t>Art. 2.</w:t>
      </w:r>
      <w:r>
        <w:t xml:space="preserve"> El </w:t>
      </w:r>
      <w:hyperlink r:id="rId22" w:history="1">
        <w:r>
          <w:rPr>
            <w:rStyle w:val="Hipervnculo"/>
          </w:rPr>
          <w:t>canon 1009</w:t>
        </w:r>
      </w:hyperlink>
      <w:r>
        <w:t xml:space="preserve"> del </w:t>
      </w:r>
      <w:r>
        <w:rPr>
          <w:i/>
          <w:iCs/>
        </w:rPr>
        <w:t xml:space="preserve">Código de derecho canónico </w:t>
      </w:r>
      <w:r>
        <w:t xml:space="preserve">de ahora en adelante tendrá tres parágrafos, en el primero y en el segundo de los cuales se mantendrá el texto del canon </w:t>
      </w:r>
      <w:r>
        <w:lastRenderedPageBreak/>
        <w:t xml:space="preserve">vigente, mientras que en el tercero el nuevo texto se redactará de manera que el canon 1009 §3 resulte así:  </w:t>
      </w:r>
    </w:p>
    <w:p w:rsidR="00020212" w:rsidRDefault="00020212" w:rsidP="00020212">
      <w:pPr>
        <w:pStyle w:val="NormalWeb"/>
        <w:jc w:val="both"/>
      </w:pPr>
      <w:r>
        <w:t>«Aquellos que han sido constituidos en el orden del episcopado o del presbiterado reciben la misión y la facultad de actuar en la persona de Cristo Cabeza; los diáconos, en cambio, son habilitados para servir al pueblo de Dios en la diaconía de la liturgia, de la palabra y de la caridad».</w:t>
      </w:r>
    </w:p>
    <w:p w:rsidR="00020212" w:rsidRDefault="00020212" w:rsidP="00020212">
      <w:pPr>
        <w:pStyle w:val="NormalWeb"/>
        <w:jc w:val="both"/>
      </w:pPr>
      <w:r>
        <w:rPr>
          <w:i/>
          <w:iCs/>
        </w:rPr>
        <w:t>Art. 3.</w:t>
      </w:r>
      <w:r>
        <w:t xml:space="preserve"> El texto del canon </w:t>
      </w:r>
      <w:hyperlink r:id="rId23" w:history="1">
        <w:r>
          <w:rPr>
            <w:rStyle w:val="Hipervnculo"/>
          </w:rPr>
          <w:t>1086</w:t>
        </w:r>
      </w:hyperlink>
      <w:r>
        <w:t xml:space="preserve"> §1 del </w:t>
      </w:r>
      <w:r>
        <w:rPr>
          <w:i/>
          <w:iCs/>
        </w:rPr>
        <w:t xml:space="preserve">Código de derecho canónico </w:t>
      </w:r>
      <w:r>
        <w:t xml:space="preserve">queda modificado así:  </w:t>
      </w:r>
    </w:p>
    <w:p w:rsidR="00020212" w:rsidRPr="00304CBE" w:rsidRDefault="00020212" w:rsidP="00020212">
      <w:pPr>
        <w:pStyle w:val="NormalWeb"/>
        <w:jc w:val="both"/>
        <w:rPr>
          <w:highlight w:val="yellow"/>
        </w:rPr>
      </w:pPr>
      <w:r w:rsidRPr="00304CBE">
        <w:rPr>
          <w:highlight w:val="yellow"/>
        </w:rPr>
        <w:t xml:space="preserve">«Es inválido el matrimonio entre dos personas, una de las cuales fue bautizada en la Iglesia católica o recibida en su seno, y otra no bautizada». </w:t>
      </w:r>
    </w:p>
    <w:p w:rsidR="00020212" w:rsidRPr="00304CBE" w:rsidRDefault="00020212" w:rsidP="00020212">
      <w:pPr>
        <w:pStyle w:val="NormalWeb"/>
        <w:jc w:val="both"/>
        <w:rPr>
          <w:highlight w:val="yellow"/>
        </w:rPr>
      </w:pPr>
      <w:r w:rsidRPr="00304CBE">
        <w:rPr>
          <w:i/>
          <w:iCs/>
          <w:highlight w:val="yellow"/>
        </w:rPr>
        <w:t>Art. 4.</w:t>
      </w:r>
      <w:r w:rsidRPr="00304CBE">
        <w:rPr>
          <w:highlight w:val="yellow"/>
        </w:rPr>
        <w:t xml:space="preserve"> El texto del canon </w:t>
      </w:r>
      <w:hyperlink r:id="rId24" w:history="1">
        <w:r w:rsidRPr="00304CBE">
          <w:rPr>
            <w:rStyle w:val="Hipervnculo"/>
            <w:highlight w:val="yellow"/>
          </w:rPr>
          <w:t>1117</w:t>
        </w:r>
      </w:hyperlink>
      <w:r w:rsidRPr="00304CBE">
        <w:rPr>
          <w:highlight w:val="yellow"/>
        </w:rPr>
        <w:t xml:space="preserve"> del </w:t>
      </w:r>
      <w:r w:rsidRPr="00304CBE">
        <w:rPr>
          <w:i/>
          <w:iCs/>
          <w:highlight w:val="yellow"/>
        </w:rPr>
        <w:t xml:space="preserve">Código de derecho canónico </w:t>
      </w:r>
      <w:r w:rsidRPr="00304CBE">
        <w:rPr>
          <w:highlight w:val="yellow"/>
        </w:rPr>
        <w:t xml:space="preserve">queda modificado así:  </w:t>
      </w:r>
    </w:p>
    <w:p w:rsidR="00020212" w:rsidRPr="00304CBE" w:rsidRDefault="00020212" w:rsidP="00020212">
      <w:pPr>
        <w:pStyle w:val="NormalWeb"/>
        <w:jc w:val="both"/>
        <w:rPr>
          <w:highlight w:val="yellow"/>
        </w:rPr>
      </w:pPr>
      <w:r w:rsidRPr="00304CBE">
        <w:rPr>
          <w:highlight w:val="yellow"/>
        </w:rPr>
        <w:t xml:space="preserve">«La forma arriba establecida se ha de observar si al menos uno de los contrayentes fue bautizado en la Iglesia católica o recibido en ella, sin perjuicio de lo establecido en el canon </w:t>
      </w:r>
      <w:hyperlink r:id="rId25" w:history="1">
        <w:r w:rsidRPr="00304CBE">
          <w:rPr>
            <w:rStyle w:val="Hipervnculo"/>
            <w:highlight w:val="yellow"/>
          </w:rPr>
          <w:t>1127</w:t>
        </w:r>
      </w:hyperlink>
      <w:r w:rsidRPr="00304CBE">
        <w:rPr>
          <w:highlight w:val="yellow"/>
        </w:rPr>
        <w:t xml:space="preserve"> §2». </w:t>
      </w:r>
    </w:p>
    <w:p w:rsidR="00020212" w:rsidRPr="00304CBE" w:rsidRDefault="00020212" w:rsidP="00020212">
      <w:pPr>
        <w:pStyle w:val="NormalWeb"/>
        <w:jc w:val="both"/>
        <w:rPr>
          <w:highlight w:val="yellow"/>
        </w:rPr>
      </w:pPr>
      <w:r w:rsidRPr="00304CBE">
        <w:rPr>
          <w:i/>
          <w:iCs/>
          <w:highlight w:val="yellow"/>
        </w:rPr>
        <w:t>Art. 5.</w:t>
      </w:r>
      <w:r w:rsidRPr="00304CBE">
        <w:rPr>
          <w:highlight w:val="yellow"/>
        </w:rPr>
        <w:t xml:space="preserve"> El texto del canon </w:t>
      </w:r>
      <w:hyperlink r:id="rId26" w:history="1">
        <w:r w:rsidRPr="00304CBE">
          <w:rPr>
            <w:rStyle w:val="Hipervnculo"/>
            <w:highlight w:val="yellow"/>
          </w:rPr>
          <w:t>1124</w:t>
        </w:r>
      </w:hyperlink>
      <w:r w:rsidRPr="00304CBE">
        <w:rPr>
          <w:highlight w:val="yellow"/>
        </w:rPr>
        <w:t xml:space="preserve"> del </w:t>
      </w:r>
      <w:r w:rsidRPr="00304CBE">
        <w:rPr>
          <w:i/>
          <w:iCs/>
          <w:highlight w:val="yellow"/>
        </w:rPr>
        <w:t xml:space="preserve">Código de derecho canónico </w:t>
      </w:r>
      <w:r w:rsidRPr="00304CBE">
        <w:rPr>
          <w:highlight w:val="yellow"/>
        </w:rPr>
        <w:t xml:space="preserve">queda modificado así:  </w:t>
      </w:r>
    </w:p>
    <w:p w:rsidR="00020212" w:rsidRDefault="00020212" w:rsidP="00020212">
      <w:pPr>
        <w:pStyle w:val="NormalWeb"/>
        <w:jc w:val="both"/>
      </w:pPr>
      <w:r w:rsidRPr="00304CBE">
        <w:rPr>
          <w:highlight w:val="yellow"/>
        </w:rPr>
        <w:t>«Está prohibido, sin licencia expresa de la autoridad competente, el matrimonio entre dos personas bautizadas, una de las cuales haya sido bautizada en la Iglesia católica o recibida en ella después del bautismo, y otra adscrita a una Iglesia o comunidad eclesial que no se halle en comunión plena con la Iglesia católica».</w:t>
      </w:r>
      <w:r>
        <w:t xml:space="preserve"> </w:t>
      </w:r>
    </w:p>
    <w:p w:rsidR="00020212" w:rsidRDefault="00020212" w:rsidP="00020212">
      <w:pPr>
        <w:pStyle w:val="NormalWeb"/>
        <w:jc w:val="both"/>
      </w:pPr>
      <w:proofErr w:type="spellStart"/>
      <w:r>
        <w:t>Cuanto</w:t>
      </w:r>
      <w:proofErr w:type="spellEnd"/>
      <w:r>
        <w:t xml:space="preserve"> hemos deliberado con esta carta apostólica en forma de </w:t>
      </w:r>
      <w:r>
        <w:rPr>
          <w:i/>
          <w:iCs/>
        </w:rPr>
        <w:t xml:space="preserve">motu proprio, </w:t>
      </w:r>
      <w:r>
        <w:t xml:space="preserve">ordenamos que tenga firme y estable vigor, no obstante cualquier disposición contraria aunque sea digna de particular mención, y que se publique en el comentario oficial </w:t>
      </w:r>
      <w:r>
        <w:rPr>
          <w:i/>
          <w:iCs/>
        </w:rPr>
        <w:t xml:space="preserve">Acta </w:t>
      </w:r>
      <w:proofErr w:type="spellStart"/>
      <w:r>
        <w:rPr>
          <w:i/>
          <w:iCs/>
        </w:rPr>
        <w:t>Apostolicae</w:t>
      </w:r>
      <w:proofErr w:type="spellEnd"/>
      <w:r>
        <w:rPr>
          <w:i/>
          <w:iCs/>
        </w:rPr>
        <w:t xml:space="preserve"> </w:t>
      </w:r>
      <w:proofErr w:type="spellStart"/>
      <w:r>
        <w:rPr>
          <w:i/>
          <w:iCs/>
        </w:rPr>
        <w:t>Sedis</w:t>
      </w:r>
      <w:proofErr w:type="spellEnd"/>
      <w:r>
        <w:t xml:space="preserve">. </w:t>
      </w:r>
    </w:p>
    <w:p w:rsidR="00020212" w:rsidRDefault="00020212" w:rsidP="00020212">
      <w:pPr>
        <w:pStyle w:val="NormalWeb"/>
        <w:jc w:val="both"/>
      </w:pPr>
      <w:r>
        <w:rPr>
          <w:i/>
          <w:iCs/>
        </w:rPr>
        <w:t>Dado en Roma, junto a San Pedro, el día 26 del mes de octubre del año 2009, quinto de nuestro pontificado</w:t>
      </w:r>
      <w:r>
        <w:t xml:space="preserve">. </w:t>
      </w:r>
    </w:p>
    <w:p w:rsidR="00020212" w:rsidRDefault="00020212" w:rsidP="00304CBE">
      <w:pPr>
        <w:pStyle w:val="NormalWeb"/>
        <w:jc w:val="right"/>
        <w:rPr>
          <w:b/>
          <w:bCs/>
        </w:rPr>
      </w:pPr>
      <w:r>
        <w:rPr>
          <w:b/>
          <w:bCs/>
        </w:rPr>
        <w:t xml:space="preserve">BENEDICTUS PP. XVI </w:t>
      </w:r>
    </w:p>
    <w:p w:rsidR="00911D40" w:rsidRDefault="00911D40" w:rsidP="00304CBE">
      <w:pPr>
        <w:pStyle w:val="NormalWeb"/>
        <w:jc w:val="right"/>
        <w:rPr>
          <w:b/>
          <w:bCs/>
        </w:rPr>
      </w:pPr>
    </w:p>
    <w:p w:rsidR="00911D40" w:rsidRDefault="00911D40">
      <w:pPr>
        <w:rPr>
          <w:rFonts w:ascii="Times New Roman" w:eastAsia="Times New Roman" w:hAnsi="Times New Roman" w:cs="Times New Roman"/>
          <w:b/>
          <w:bCs/>
          <w:sz w:val="24"/>
          <w:szCs w:val="24"/>
          <w:lang w:eastAsia="es-ES"/>
        </w:rPr>
      </w:pPr>
      <w:r>
        <w:rPr>
          <w:b/>
          <w:bCs/>
        </w:rPr>
        <w:br w:type="page"/>
      </w:r>
    </w:p>
    <w:p w:rsidR="00911D40" w:rsidRDefault="00911D40" w:rsidP="00911D40">
      <w:pPr>
        <w:pStyle w:val="NormalWeb"/>
        <w:jc w:val="center"/>
      </w:pPr>
      <w:r>
        <w:rPr>
          <w:color w:val="663300"/>
        </w:rPr>
        <w:lastRenderedPageBreak/>
        <w:t xml:space="preserve">CARTA APOSTÓLICA </w:t>
      </w:r>
      <w:r>
        <w:rPr>
          <w:color w:val="663300"/>
        </w:rPr>
        <w:br/>
        <w:t xml:space="preserve">EN FORMA DE </w:t>
      </w:r>
      <w:r>
        <w:rPr>
          <w:i/>
          <w:iCs/>
          <w:color w:val="663300"/>
        </w:rPr>
        <w:t>MOTU PROPRIO</w:t>
      </w:r>
    </w:p>
    <w:p w:rsidR="00911D40" w:rsidRDefault="00911D40" w:rsidP="00911D40">
      <w:pPr>
        <w:pStyle w:val="NormalWeb"/>
        <w:jc w:val="center"/>
      </w:pPr>
      <w:r>
        <w:rPr>
          <w:b/>
          <w:bCs/>
          <w:i/>
          <w:iCs/>
          <w:color w:val="663300"/>
          <w:sz w:val="27"/>
          <w:szCs w:val="27"/>
        </w:rPr>
        <w:t>QUAERIT SEMPER</w:t>
      </w:r>
    </w:p>
    <w:p w:rsidR="00911D40" w:rsidRDefault="00911D40" w:rsidP="00911D40">
      <w:pPr>
        <w:pStyle w:val="NormalWeb"/>
        <w:jc w:val="center"/>
      </w:pPr>
      <w:r>
        <w:rPr>
          <w:color w:val="663300"/>
        </w:rPr>
        <w:t xml:space="preserve">DEL SUMO PONTÍFICE </w:t>
      </w:r>
      <w:r>
        <w:rPr>
          <w:b/>
          <w:bCs/>
          <w:color w:val="663300"/>
        </w:rPr>
        <w:br/>
        <w:t>BENEDICTO XVI</w:t>
      </w:r>
    </w:p>
    <w:p w:rsidR="00911D40" w:rsidRDefault="00911D40" w:rsidP="00911D40">
      <w:pPr>
        <w:pStyle w:val="NormalWeb"/>
        <w:jc w:val="both"/>
      </w:pPr>
      <w:r>
        <w:t>c</w:t>
      </w:r>
      <w:r>
        <w:rPr>
          <w:b/>
          <w:bCs/>
          <w:color w:val="663300"/>
        </w:rPr>
        <w:t xml:space="preserve">on la que se modifica la Constitución apostólica </w:t>
      </w:r>
      <w:hyperlink r:id="rId27" w:history="1">
        <w:r>
          <w:rPr>
            <w:rStyle w:val="Hipervnculo"/>
            <w:b/>
            <w:bCs/>
            <w:i/>
            <w:iCs/>
          </w:rPr>
          <w:t xml:space="preserve">Pastor </w:t>
        </w:r>
        <w:proofErr w:type="spellStart"/>
        <w:r>
          <w:rPr>
            <w:rStyle w:val="Hipervnculo"/>
            <w:b/>
            <w:bCs/>
            <w:i/>
            <w:iCs/>
          </w:rPr>
          <w:t>bonus</w:t>
        </w:r>
        <w:proofErr w:type="spellEnd"/>
      </w:hyperlink>
      <w:r>
        <w:rPr>
          <w:b/>
          <w:bCs/>
          <w:i/>
          <w:iCs/>
          <w:color w:val="663300"/>
        </w:rPr>
        <w:t xml:space="preserve"> </w:t>
      </w:r>
      <w:r>
        <w:rPr>
          <w:b/>
          <w:bCs/>
          <w:color w:val="663300"/>
        </w:rPr>
        <w:t xml:space="preserve">y </w:t>
      </w:r>
      <w:r w:rsidRPr="00956AD3">
        <w:rPr>
          <w:b/>
          <w:bCs/>
          <w:color w:val="663300"/>
          <w:u w:val="single"/>
        </w:rPr>
        <w:t>se trasladan algunas competencias</w:t>
      </w:r>
      <w:r>
        <w:rPr>
          <w:b/>
          <w:bCs/>
          <w:color w:val="663300"/>
        </w:rPr>
        <w:t xml:space="preserve"> de la Congregación para el Culto Divino y la Disciplina de los Sacramentos </w:t>
      </w:r>
      <w:r w:rsidRPr="00956AD3">
        <w:rPr>
          <w:b/>
          <w:bCs/>
          <w:color w:val="663300"/>
          <w:u w:val="single"/>
        </w:rPr>
        <w:t>al nuevo Departamento</w:t>
      </w:r>
      <w:r>
        <w:rPr>
          <w:b/>
          <w:bCs/>
          <w:color w:val="663300"/>
        </w:rPr>
        <w:t xml:space="preserve"> </w:t>
      </w:r>
      <w:r w:rsidRPr="00956AD3">
        <w:rPr>
          <w:b/>
          <w:bCs/>
          <w:i/>
          <w:color w:val="663300"/>
        </w:rPr>
        <w:t xml:space="preserve">para los procedimientos de dispensa del matrimonio rato y no consumado </w:t>
      </w:r>
      <w:r w:rsidRPr="00956AD3">
        <w:rPr>
          <w:b/>
          <w:bCs/>
          <w:color w:val="663300"/>
        </w:rPr>
        <w:t>y las causas de nulidad de la sagrada Ordenación</w:t>
      </w:r>
      <w:r>
        <w:rPr>
          <w:b/>
          <w:bCs/>
          <w:color w:val="663300"/>
        </w:rPr>
        <w:t xml:space="preserve"> </w:t>
      </w:r>
      <w:r w:rsidRPr="00956AD3">
        <w:rPr>
          <w:b/>
          <w:bCs/>
          <w:color w:val="663300"/>
          <w:u w:val="single"/>
        </w:rPr>
        <w:t>constituido en el Tribunal de la Rota Romana</w:t>
      </w:r>
      <w:r>
        <w:rPr>
          <w:b/>
          <w:bCs/>
          <w:color w:val="663300"/>
        </w:rPr>
        <w:t>.</w:t>
      </w:r>
    </w:p>
    <w:p w:rsidR="00911D40" w:rsidRDefault="00911D40" w:rsidP="00911D40">
      <w:pPr>
        <w:pStyle w:val="NormalWeb"/>
        <w:jc w:val="both"/>
      </w:pPr>
      <w:r>
        <w:t xml:space="preserve">La Santa Sede ha procurado siempre adecuar su propia estructura de gobierno a las necesidades pastorales que en cada período histórico surgían en la vida de la Iglesia, modificando por ello la organización y la competencia de los </w:t>
      </w:r>
      <w:proofErr w:type="spellStart"/>
      <w:r>
        <w:t>Dicasterios</w:t>
      </w:r>
      <w:proofErr w:type="spellEnd"/>
      <w:r>
        <w:t xml:space="preserve"> de la Curia Romana. </w:t>
      </w:r>
    </w:p>
    <w:p w:rsidR="00911D40" w:rsidRDefault="00911D40" w:rsidP="00911D40">
      <w:pPr>
        <w:pStyle w:val="NormalWeb"/>
        <w:jc w:val="both"/>
      </w:pPr>
      <w:r>
        <w:t xml:space="preserve">Además, el Concilio Vaticano II confirmó dicho criterio subrayando la necesidad de adecuar los </w:t>
      </w:r>
      <w:proofErr w:type="spellStart"/>
      <w:r>
        <w:t>Dicasterios</w:t>
      </w:r>
      <w:proofErr w:type="spellEnd"/>
      <w:r>
        <w:t xml:space="preserve"> a las necesidades de los tiempos, de las regiones y de los ritos, sobre todo en lo relativo a su número, denominación, competencia, modos de proceder y coordinación recíproca (cfr. </w:t>
      </w:r>
      <w:proofErr w:type="spellStart"/>
      <w:r>
        <w:t>Decr</w:t>
      </w:r>
      <w:proofErr w:type="spellEnd"/>
      <w:r>
        <w:t xml:space="preserve">. </w:t>
      </w:r>
      <w:hyperlink r:id="rId28" w:history="1">
        <w:proofErr w:type="spellStart"/>
        <w:r>
          <w:rPr>
            <w:rStyle w:val="Hipervnculo"/>
            <w:i/>
            <w:iCs/>
          </w:rPr>
          <w:t>Christus</w:t>
        </w:r>
        <w:proofErr w:type="spellEnd"/>
        <w:r>
          <w:rPr>
            <w:rStyle w:val="Hipervnculo"/>
            <w:i/>
            <w:iCs/>
          </w:rPr>
          <w:t xml:space="preserve"> </w:t>
        </w:r>
        <w:proofErr w:type="spellStart"/>
        <w:r>
          <w:rPr>
            <w:rStyle w:val="Hipervnculo"/>
            <w:i/>
            <w:iCs/>
          </w:rPr>
          <w:t>Dominus</w:t>
        </w:r>
        <w:proofErr w:type="spellEnd"/>
      </w:hyperlink>
      <w:r>
        <w:rPr>
          <w:i/>
          <w:iCs/>
        </w:rPr>
        <w:t>,</w:t>
      </w:r>
      <w:r>
        <w:t xml:space="preserve"> 9).</w:t>
      </w:r>
    </w:p>
    <w:p w:rsidR="00911D40" w:rsidRDefault="00911D40" w:rsidP="00911D40">
      <w:pPr>
        <w:pStyle w:val="NormalWeb"/>
        <w:jc w:val="both"/>
      </w:pPr>
      <w:r>
        <w:t xml:space="preserve">Siguiendo dichos principios, mi Predecesor, el beato Juan Pablo II, procedió a una reordenación global de la Curia Romana mediante la Constitución apostólica </w:t>
      </w:r>
      <w:hyperlink r:id="rId29" w:history="1">
        <w:r>
          <w:rPr>
            <w:rStyle w:val="Hipervnculo"/>
            <w:i/>
            <w:iCs/>
          </w:rPr>
          <w:t xml:space="preserve">Pastor </w:t>
        </w:r>
        <w:proofErr w:type="spellStart"/>
        <w:r>
          <w:rPr>
            <w:rStyle w:val="Hipervnculo"/>
            <w:i/>
            <w:iCs/>
          </w:rPr>
          <w:t>bonus</w:t>
        </w:r>
        <w:proofErr w:type="spellEnd"/>
      </w:hyperlink>
      <w:r>
        <w:t>, promulgada el 28 de junio de 1988 (</w:t>
      </w:r>
      <w:r>
        <w:rPr>
          <w:i/>
          <w:iCs/>
        </w:rPr>
        <w:t>AAS</w:t>
      </w:r>
      <w:r>
        <w:t xml:space="preserve"> 80 [1988] 841-930), concretando las competencias de los diversos </w:t>
      </w:r>
      <w:proofErr w:type="spellStart"/>
      <w:r>
        <w:t>Dicasterios</w:t>
      </w:r>
      <w:proofErr w:type="spellEnd"/>
      <w:r>
        <w:t xml:space="preserve"> según el Código de Derecho Canónico promulgado cinco años antes y las normas que ya se preveían para las Iglesias orientales. Más adelante, con sucesivas medidas, tanto mi Predecesor como yo mismo, hemos intervenido modificando la estructura y la competencia de algunos </w:t>
      </w:r>
      <w:proofErr w:type="spellStart"/>
      <w:r>
        <w:t>Dicasterios</w:t>
      </w:r>
      <w:proofErr w:type="spellEnd"/>
      <w:r>
        <w:t xml:space="preserve"> para responder mejor a </w:t>
      </w:r>
      <w:proofErr w:type="spellStart"/>
      <w:r>
        <w:t>lasnuevas</w:t>
      </w:r>
      <w:proofErr w:type="spellEnd"/>
      <w:r>
        <w:t xml:space="preserve"> exigencias.</w:t>
      </w:r>
    </w:p>
    <w:p w:rsidR="00911D40" w:rsidRDefault="00911D40" w:rsidP="00911D40">
      <w:pPr>
        <w:pStyle w:val="NormalWeb"/>
        <w:jc w:val="both"/>
      </w:pPr>
      <w:r>
        <w:t xml:space="preserve">En las circunstancias actuales, ha parecido conveniente que la Congregación para el Culto Divino y la Disciplina de los Sacramentos se dedique principalmente a dar nuevo impulso a la promoción de la Sagrada Liturgia en la Iglesia, según la renovación querida por el Concilio Vaticano II a partir de la Constitución </w:t>
      </w:r>
      <w:hyperlink r:id="rId30" w:history="1">
        <w:proofErr w:type="spellStart"/>
        <w:r>
          <w:rPr>
            <w:rStyle w:val="Hipervnculo"/>
            <w:i/>
            <w:iCs/>
          </w:rPr>
          <w:t>Sacrosanctum</w:t>
        </w:r>
        <w:proofErr w:type="spellEnd"/>
        <w:r>
          <w:rPr>
            <w:rStyle w:val="Hipervnculo"/>
            <w:i/>
            <w:iCs/>
          </w:rPr>
          <w:t xml:space="preserve"> </w:t>
        </w:r>
        <w:proofErr w:type="spellStart"/>
        <w:r>
          <w:rPr>
            <w:rStyle w:val="Hipervnculo"/>
            <w:i/>
            <w:iCs/>
          </w:rPr>
          <w:t>Concilium</w:t>
        </w:r>
        <w:proofErr w:type="spellEnd"/>
      </w:hyperlink>
      <w:r>
        <w:t>.</w:t>
      </w:r>
    </w:p>
    <w:p w:rsidR="00911D40" w:rsidRDefault="00911D40" w:rsidP="00911D40">
      <w:pPr>
        <w:pStyle w:val="NormalWeb"/>
        <w:jc w:val="both"/>
      </w:pPr>
      <w:r>
        <w:t>Por lo tanto</w:t>
      </w:r>
      <w:r w:rsidRPr="00552F35">
        <w:rPr>
          <w:b/>
        </w:rPr>
        <w:t>, he considerado oportuno transferir a un nuevo Departamento constituido en el Tribunal de la Rota Romana la competencia de tratar los procedimientos para la concesión de la dispensa del matrimonio rato y no consumado</w:t>
      </w:r>
      <w:r>
        <w:t xml:space="preserve"> y las causas de nulidad de la sagrada Ordenación.</w:t>
      </w:r>
    </w:p>
    <w:p w:rsidR="00911D40" w:rsidRDefault="00911D40" w:rsidP="00911D40">
      <w:pPr>
        <w:pStyle w:val="NormalWeb"/>
        <w:jc w:val="both"/>
      </w:pPr>
      <w:r>
        <w:t>En consecuencia, a propuesta del Eminentísimo Prefecto de la Congregación para el Culto Divino y la Disciplina de los Sacramentos y con el parecer favorable del Excelentísimo Decano del Tribunal de la Rota Romana, oído el parecer del Supremo Tribunal de la Signatura Apostólica y del Consejo Pontificio para los Textos Legislativos, establezco y decreto lo siguiente:</w:t>
      </w:r>
    </w:p>
    <w:p w:rsidR="00911D40" w:rsidRDefault="00911D40" w:rsidP="00911D40">
      <w:pPr>
        <w:pStyle w:val="NormalWeb"/>
        <w:jc w:val="both"/>
      </w:pPr>
      <w:r>
        <w:rPr>
          <w:b/>
          <w:bCs/>
        </w:rPr>
        <w:t>Art. 1.</w:t>
      </w:r>
    </w:p>
    <w:p w:rsidR="00911D40" w:rsidRDefault="00911D40" w:rsidP="00911D40">
      <w:pPr>
        <w:pStyle w:val="NormalWeb"/>
        <w:jc w:val="both"/>
      </w:pPr>
      <w:r>
        <w:lastRenderedPageBreak/>
        <w:t xml:space="preserve">Quedan derogados los artículos 67 y 68 de la citada Constitución apostólica </w:t>
      </w:r>
      <w:hyperlink r:id="rId31" w:anchor="CONGREGACIONES" w:history="1">
        <w:r>
          <w:rPr>
            <w:rStyle w:val="Hipervnculo"/>
            <w:i/>
            <w:iCs/>
          </w:rPr>
          <w:t xml:space="preserve">Pastor </w:t>
        </w:r>
        <w:proofErr w:type="spellStart"/>
        <w:r>
          <w:rPr>
            <w:rStyle w:val="Hipervnculo"/>
            <w:i/>
            <w:iCs/>
          </w:rPr>
          <w:t>bonus</w:t>
        </w:r>
        <w:proofErr w:type="spellEnd"/>
      </w:hyperlink>
      <w:r>
        <w:t xml:space="preserve">. </w:t>
      </w:r>
    </w:p>
    <w:p w:rsidR="00911D40" w:rsidRDefault="00911D40" w:rsidP="00911D40">
      <w:pPr>
        <w:pStyle w:val="NormalWeb"/>
        <w:jc w:val="both"/>
      </w:pPr>
      <w:r>
        <w:rPr>
          <w:b/>
          <w:bCs/>
        </w:rPr>
        <w:t>Art. 2.</w:t>
      </w:r>
    </w:p>
    <w:p w:rsidR="00911D40" w:rsidRDefault="00911D40" w:rsidP="00911D40">
      <w:pPr>
        <w:pStyle w:val="NormalWeb"/>
        <w:jc w:val="both"/>
      </w:pPr>
      <w:r>
        <w:t xml:space="preserve">El artículo 126 de la Constitución apostólica </w:t>
      </w:r>
      <w:hyperlink r:id="rId32" w:anchor="TRIBUNALES" w:history="1">
        <w:r>
          <w:rPr>
            <w:rStyle w:val="Hipervnculo"/>
            <w:i/>
            <w:iCs/>
          </w:rPr>
          <w:t xml:space="preserve">Pastor </w:t>
        </w:r>
        <w:proofErr w:type="spellStart"/>
        <w:r>
          <w:rPr>
            <w:rStyle w:val="Hipervnculo"/>
            <w:i/>
            <w:iCs/>
          </w:rPr>
          <w:t>bonus</w:t>
        </w:r>
        <w:proofErr w:type="spellEnd"/>
      </w:hyperlink>
      <w:r>
        <w:t xml:space="preserve"> queda modificado de acuerdo con el texto siguiente: </w:t>
      </w:r>
    </w:p>
    <w:p w:rsidR="00911D40" w:rsidRDefault="00911D40" w:rsidP="00911D40">
      <w:pPr>
        <w:pStyle w:val="NormalWeb"/>
        <w:jc w:val="both"/>
      </w:pPr>
      <w:r>
        <w:t xml:space="preserve">“Art. 126 § 1. Este Tribunal actúa ordinariamente como instancia superior en grado de apelación ante la Sede Apostólica con el fin de tutelar los derechos en la Iglesia, provee a la unidad de la jurisprudencia y, a través de sus sentencias, sirve de ayuda a los Tribunales de grado inferior. </w:t>
      </w:r>
    </w:p>
    <w:p w:rsidR="00911D40" w:rsidRDefault="00911D40" w:rsidP="00911D40">
      <w:pPr>
        <w:pStyle w:val="NormalWeb"/>
        <w:jc w:val="both"/>
      </w:pPr>
      <w:r>
        <w:t xml:space="preserve">§ 2. Se constituye en este Tribunal un Departamento al que compete examinar el hecho de la no consumación del matrimonio y la existencia de causa justa para conceder la dispensa. A tal fin, recibe todas las actas junto con el parecer del Obispo y las observaciones del Defensor del Vínculo, </w:t>
      </w:r>
      <w:proofErr w:type="gramStart"/>
      <w:r>
        <w:t>pondera</w:t>
      </w:r>
      <w:proofErr w:type="gramEnd"/>
      <w:r>
        <w:t xml:space="preserve"> atentamente, según un procedimiento especial, la solicitud para obtener la dispensa y, si se da el caso, la somete al Sumo Pontífice. </w:t>
      </w:r>
    </w:p>
    <w:p w:rsidR="00911D40" w:rsidRDefault="00911D40" w:rsidP="00911D40">
      <w:pPr>
        <w:pStyle w:val="NormalWeb"/>
        <w:jc w:val="both"/>
      </w:pPr>
      <w:r>
        <w:t xml:space="preserve">§ 3. Dicho Departamento es competente también para tratar las causas de nulidad de la sagrada Ordenación, a tenor del derecho universal y propio, </w:t>
      </w:r>
      <w:r>
        <w:rPr>
          <w:i/>
          <w:iCs/>
        </w:rPr>
        <w:t xml:space="preserve">congrua </w:t>
      </w:r>
      <w:proofErr w:type="spellStart"/>
      <w:r>
        <w:rPr>
          <w:i/>
          <w:iCs/>
        </w:rPr>
        <w:t>congruis</w:t>
      </w:r>
      <w:proofErr w:type="spellEnd"/>
      <w:r>
        <w:rPr>
          <w:i/>
          <w:iCs/>
        </w:rPr>
        <w:t xml:space="preserve"> referendo</w:t>
      </w:r>
      <w:r>
        <w:t>.</w:t>
      </w:r>
    </w:p>
    <w:p w:rsidR="00911D40" w:rsidRDefault="00911D40" w:rsidP="00911D40">
      <w:pPr>
        <w:pStyle w:val="NormalWeb"/>
        <w:jc w:val="both"/>
      </w:pPr>
      <w:r>
        <w:rPr>
          <w:b/>
          <w:bCs/>
        </w:rPr>
        <w:t>Art. 3.</w:t>
      </w:r>
    </w:p>
    <w:p w:rsidR="00911D40" w:rsidRDefault="00911D40" w:rsidP="00911D40">
      <w:pPr>
        <w:pStyle w:val="NormalWeb"/>
        <w:jc w:val="both"/>
      </w:pPr>
      <w:r>
        <w:t xml:space="preserve">El Departamento para los procedimientos de dispensa del matrimonio rato y no consumado y las causas de nulidad de la sagrada Ordenación está dirigido por el Decano de la Rota Romana, asistido por Oficiales, Comisarios delegados y Consultores. </w:t>
      </w:r>
    </w:p>
    <w:p w:rsidR="00911D40" w:rsidRDefault="00911D40" w:rsidP="00911D40">
      <w:pPr>
        <w:pStyle w:val="NormalWeb"/>
        <w:jc w:val="both"/>
      </w:pPr>
      <w:r>
        <w:rPr>
          <w:b/>
          <w:bCs/>
        </w:rPr>
        <w:t>Art. 4.</w:t>
      </w:r>
    </w:p>
    <w:p w:rsidR="00911D40" w:rsidRDefault="00911D40" w:rsidP="00911D40">
      <w:pPr>
        <w:pStyle w:val="NormalWeb"/>
        <w:jc w:val="both"/>
      </w:pPr>
      <w:r>
        <w:t>El día de la entrada en vigor de las presentes normas, los procedimientos de dispensa del matrimonio rato y no consumado y las causas de nulidad de la sagrada Ordenación pendientes ante la Congregación para el Culto Divino y la Disciplina de los Sacramentos se trasladarán al nuevo Departamento en el Tribunal de la Rota Romana, que las resolverá.</w:t>
      </w:r>
    </w:p>
    <w:p w:rsidR="00911D40" w:rsidRDefault="00911D40" w:rsidP="00911D40">
      <w:pPr>
        <w:pStyle w:val="NormalWeb"/>
        <w:jc w:val="both"/>
      </w:pPr>
      <w:r>
        <w:t xml:space="preserve">Cuanto he decidido en esta Carta apostólica en forma de </w:t>
      </w:r>
      <w:r>
        <w:rPr>
          <w:i/>
          <w:iCs/>
        </w:rPr>
        <w:t>Motu Proprio</w:t>
      </w:r>
      <w:r>
        <w:t>, ordeno que se observe en todas sus partes, sin que obste nada en contrario, aunque sea digno de especial mención, y establezco que se promulgue mediante la publicación en el diario “</w:t>
      </w:r>
      <w:proofErr w:type="spellStart"/>
      <w:r>
        <w:t>L'Osservatore</w:t>
      </w:r>
      <w:proofErr w:type="spellEnd"/>
      <w:r>
        <w:t xml:space="preserve"> Romano”, entrando en vigor el día 1 de octubre de 2011. </w:t>
      </w:r>
    </w:p>
    <w:p w:rsidR="00911D40" w:rsidRDefault="00911D40" w:rsidP="00911D40">
      <w:pPr>
        <w:pStyle w:val="NormalWeb"/>
        <w:jc w:val="both"/>
      </w:pPr>
      <w:r>
        <w:rPr>
          <w:i/>
          <w:iCs/>
        </w:rPr>
        <w:t xml:space="preserve">Dado en </w:t>
      </w:r>
      <w:proofErr w:type="spellStart"/>
      <w:r>
        <w:rPr>
          <w:i/>
          <w:iCs/>
        </w:rPr>
        <w:t>Castelgandolfo</w:t>
      </w:r>
      <w:proofErr w:type="spellEnd"/>
      <w:r>
        <w:rPr>
          <w:i/>
          <w:iCs/>
        </w:rPr>
        <w:t>, el día 30 de agosto del año 2011, séptimo de Nuestro Pontificado.</w:t>
      </w:r>
      <w:r>
        <w:t xml:space="preserve"> </w:t>
      </w:r>
    </w:p>
    <w:p w:rsidR="00911D40" w:rsidRDefault="00911D40" w:rsidP="00911D40">
      <w:pPr>
        <w:pStyle w:val="NormalWeb"/>
      </w:pPr>
      <w:r>
        <w:t> </w:t>
      </w:r>
    </w:p>
    <w:p w:rsidR="00BF0A1B" w:rsidRDefault="00911D40" w:rsidP="00911D40">
      <w:pPr>
        <w:pStyle w:val="NormalWeb"/>
        <w:jc w:val="right"/>
      </w:pPr>
      <w:r>
        <w:rPr>
          <w:b/>
          <w:bCs/>
        </w:rPr>
        <w:t>BENEDICTUS PP. XVI</w:t>
      </w:r>
    </w:p>
    <w:sectPr w:rsidR="00BF0A1B" w:rsidSect="00BF0A1B">
      <w:headerReference w:type="default" r:id="rId3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FB" w:rsidRDefault="008361FB" w:rsidP="001447F4">
      <w:pPr>
        <w:spacing w:line="240" w:lineRule="auto"/>
      </w:pPr>
      <w:r>
        <w:separator/>
      </w:r>
    </w:p>
  </w:endnote>
  <w:endnote w:type="continuationSeparator" w:id="0">
    <w:p w:rsidR="008361FB" w:rsidRDefault="008361FB" w:rsidP="001447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FB" w:rsidRDefault="008361FB" w:rsidP="001447F4">
      <w:pPr>
        <w:spacing w:line="240" w:lineRule="auto"/>
      </w:pPr>
      <w:r>
        <w:separator/>
      </w:r>
    </w:p>
  </w:footnote>
  <w:footnote w:type="continuationSeparator" w:id="0">
    <w:p w:rsidR="008361FB" w:rsidRDefault="008361FB" w:rsidP="001447F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5892"/>
      <w:docPartObj>
        <w:docPartGallery w:val="Page Numbers (Top of Page)"/>
        <w:docPartUnique/>
      </w:docPartObj>
    </w:sdtPr>
    <w:sdtContent>
      <w:p w:rsidR="001447F4" w:rsidRDefault="001447F4">
        <w:pPr>
          <w:pStyle w:val="Encabezado"/>
          <w:jc w:val="right"/>
        </w:pPr>
        <w:fldSimple w:instr=" PAGE   \* MERGEFORMAT ">
          <w:r>
            <w:rPr>
              <w:noProof/>
            </w:rPr>
            <w:t>1</w:t>
          </w:r>
        </w:fldSimple>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9"/>
  <w:hyphenationZone w:val="425"/>
  <w:characterSpacingControl w:val="doNotCompress"/>
  <w:footnotePr>
    <w:footnote w:id="-1"/>
    <w:footnote w:id="0"/>
  </w:footnotePr>
  <w:endnotePr>
    <w:endnote w:id="-1"/>
    <w:endnote w:id="0"/>
  </w:endnotePr>
  <w:compat/>
  <w:rsids>
    <w:rsidRoot w:val="00020212"/>
    <w:rsid w:val="0000601E"/>
    <w:rsid w:val="00015C98"/>
    <w:rsid w:val="00020212"/>
    <w:rsid w:val="00022ADC"/>
    <w:rsid w:val="000311F7"/>
    <w:rsid w:val="000A5633"/>
    <w:rsid w:val="000C5D84"/>
    <w:rsid w:val="001447F4"/>
    <w:rsid w:val="00167055"/>
    <w:rsid w:val="00191E23"/>
    <w:rsid w:val="00206B60"/>
    <w:rsid w:val="00224111"/>
    <w:rsid w:val="00263FEE"/>
    <w:rsid w:val="00304CBE"/>
    <w:rsid w:val="003A11F5"/>
    <w:rsid w:val="00403FA3"/>
    <w:rsid w:val="00445B0E"/>
    <w:rsid w:val="004815D2"/>
    <w:rsid w:val="004A72DF"/>
    <w:rsid w:val="00515608"/>
    <w:rsid w:val="005C7E41"/>
    <w:rsid w:val="00610E37"/>
    <w:rsid w:val="006118F0"/>
    <w:rsid w:val="00650AC2"/>
    <w:rsid w:val="00670873"/>
    <w:rsid w:val="00693F80"/>
    <w:rsid w:val="006A00B4"/>
    <w:rsid w:val="006A2F26"/>
    <w:rsid w:val="006A6C2F"/>
    <w:rsid w:val="006F0F52"/>
    <w:rsid w:val="0070069F"/>
    <w:rsid w:val="00735C77"/>
    <w:rsid w:val="00735DE6"/>
    <w:rsid w:val="00746637"/>
    <w:rsid w:val="00761BF5"/>
    <w:rsid w:val="00792636"/>
    <w:rsid w:val="007C4ED8"/>
    <w:rsid w:val="007F14F2"/>
    <w:rsid w:val="00802CB0"/>
    <w:rsid w:val="00817A00"/>
    <w:rsid w:val="008361FB"/>
    <w:rsid w:val="008B2BDE"/>
    <w:rsid w:val="008C04E9"/>
    <w:rsid w:val="008D5EA1"/>
    <w:rsid w:val="00911D40"/>
    <w:rsid w:val="0092470E"/>
    <w:rsid w:val="00943C8B"/>
    <w:rsid w:val="009602D4"/>
    <w:rsid w:val="0096619A"/>
    <w:rsid w:val="00984879"/>
    <w:rsid w:val="009B7363"/>
    <w:rsid w:val="00A023DB"/>
    <w:rsid w:val="00A2788D"/>
    <w:rsid w:val="00A5708E"/>
    <w:rsid w:val="00AE4D34"/>
    <w:rsid w:val="00B1402E"/>
    <w:rsid w:val="00B73186"/>
    <w:rsid w:val="00BA728D"/>
    <w:rsid w:val="00BA74F2"/>
    <w:rsid w:val="00BF0A1B"/>
    <w:rsid w:val="00C22FB4"/>
    <w:rsid w:val="00CE22F1"/>
    <w:rsid w:val="00D34F55"/>
    <w:rsid w:val="00DC7A1D"/>
    <w:rsid w:val="00E47C8D"/>
    <w:rsid w:val="00EA4939"/>
    <w:rsid w:val="00EB35AE"/>
    <w:rsid w:val="00ED1FC2"/>
    <w:rsid w:val="00F1106A"/>
    <w:rsid w:val="00F11C8F"/>
    <w:rsid w:val="00FB296A"/>
    <w:rsid w:val="00FC1A80"/>
    <w:rsid w:val="00FE2D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A1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20212"/>
    <w:pPr>
      <w:spacing w:before="100" w:beforeAutospacing="1" w:after="100" w:afterAutospacing="1" w:line="240" w:lineRule="auto"/>
      <w:ind w:firstLine="0"/>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20212"/>
    <w:rPr>
      <w:color w:val="0000FF"/>
      <w:u w:val="single"/>
    </w:rPr>
  </w:style>
  <w:style w:type="paragraph" w:styleId="Encabezado">
    <w:name w:val="header"/>
    <w:basedOn w:val="Normal"/>
    <w:link w:val="EncabezadoCar"/>
    <w:uiPriority w:val="99"/>
    <w:unhideWhenUsed/>
    <w:rsid w:val="001447F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447F4"/>
  </w:style>
  <w:style w:type="paragraph" w:styleId="Piedepgina">
    <w:name w:val="footer"/>
    <w:basedOn w:val="Normal"/>
    <w:link w:val="PiedepginaCar"/>
    <w:uiPriority w:val="99"/>
    <w:semiHidden/>
    <w:unhideWhenUsed/>
    <w:rsid w:val="001447F4"/>
    <w:pPr>
      <w:tabs>
        <w:tab w:val="center" w:pos="4252"/>
        <w:tab w:val="right" w:pos="8504"/>
      </w:tabs>
      <w:spacing w:line="240" w:lineRule="auto"/>
    </w:pPr>
  </w:style>
  <w:style w:type="character" w:customStyle="1" w:styleId="PiedepginaCar">
    <w:name w:val="Pie de página Car"/>
    <w:basedOn w:val="Fuentedeprrafopredeter"/>
    <w:link w:val="Piedepgina"/>
    <w:uiPriority w:val="99"/>
    <w:semiHidden/>
    <w:rsid w:val="001447F4"/>
  </w:style>
</w:styles>
</file>

<file path=word/webSettings.xml><?xml version="1.0" encoding="utf-8"?>
<w:webSettings xmlns:r="http://schemas.openxmlformats.org/officeDocument/2006/relationships" xmlns:w="http://schemas.openxmlformats.org/wordprocessingml/2006/main">
  <w:divs>
    <w:div w:id="28824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SL0022/__P2A.HTM" TargetMode="External"/><Relationship Id="rId13" Type="http://schemas.openxmlformats.org/officeDocument/2006/relationships/hyperlink" Target="http://www.vatican.va/archive/ESL0020/__P3Y.HTM" TargetMode="External"/><Relationship Id="rId18" Type="http://schemas.openxmlformats.org/officeDocument/2006/relationships/hyperlink" Target="http://www.vatican.va/archive/ESL0020/__P3Y.HTM" TargetMode="External"/><Relationship Id="rId26" Type="http://schemas.openxmlformats.org/officeDocument/2006/relationships/hyperlink" Target="http://www.vatican.va/archive/ESL0020/__P3Z.HTM" TargetMode="External"/><Relationship Id="rId3" Type="http://schemas.openxmlformats.org/officeDocument/2006/relationships/webSettings" Target="webSettings.xml"/><Relationship Id="rId21" Type="http://schemas.openxmlformats.org/officeDocument/2006/relationships/hyperlink" Target="http://www.vatican.va/archive/ESL0020/__P3L.HTM" TargetMode="External"/><Relationship Id="rId34" Type="http://schemas.openxmlformats.org/officeDocument/2006/relationships/fontTable" Target="fontTable.xml"/><Relationship Id="rId7" Type="http://schemas.openxmlformats.org/officeDocument/2006/relationships/hyperlink" Target="http://www.vatican.va/archive/ESL0020/__P3L.HTM" TargetMode="External"/><Relationship Id="rId12" Type="http://schemas.openxmlformats.org/officeDocument/2006/relationships/hyperlink" Target="http://www.vatican.va/archive/ESL0020/__P3L.HTM" TargetMode="External"/><Relationship Id="rId17" Type="http://schemas.openxmlformats.org/officeDocument/2006/relationships/hyperlink" Target="http://www.vatican.va/archive/ESL0020/__P2.HTM" TargetMode="External"/><Relationship Id="rId25" Type="http://schemas.openxmlformats.org/officeDocument/2006/relationships/hyperlink" Target="http://www.vatican.va/archive/ESL0020/__P3Z.HTM"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vatican.va/archive/ESL0020/__P2.HTM" TargetMode="External"/><Relationship Id="rId20" Type="http://schemas.openxmlformats.org/officeDocument/2006/relationships/hyperlink" Target="http://www.vatican.va/archive/ESL0020/__P3Z.HTM" TargetMode="External"/><Relationship Id="rId29" Type="http://schemas.openxmlformats.org/officeDocument/2006/relationships/hyperlink" Target="http://www.vatican.va/holy_father/john_paul_ii/apost_constitutions/documents/hf_jp-ii_apc_19880628_pastor-bonus-index_sp.html" TargetMode="External"/><Relationship Id="rId1" Type="http://schemas.openxmlformats.org/officeDocument/2006/relationships/styles" Target="styles.xml"/><Relationship Id="rId6" Type="http://schemas.openxmlformats.org/officeDocument/2006/relationships/hyperlink" Target="http://www.vatican.va/holy_father/john_paul_ii/apost_constitutions/documents/hf_jp-ii_apc_25011983_sacrae-disciplinae-leges_sp.html" TargetMode="External"/><Relationship Id="rId11" Type="http://schemas.openxmlformats.org/officeDocument/2006/relationships/hyperlink" Target="http://www.vatican.va/archive/ESL0020/__P2.HTM" TargetMode="External"/><Relationship Id="rId24" Type="http://schemas.openxmlformats.org/officeDocument/2006/relationships/hyperlink" Target="http://www.vatican.va/archive/ESL0020/__P3Y.HTM" TargetMode="External"/><Relationship Id="rId32" Type="http://schemas.openxmlformats.org/officeDocument/2006/relationships/hyperlink" Target="http://www.vatican.va/holy_father/john_paul_ii/apost_constitutions/documents/hf_jp-ii_apc_19880628_pastor-bonus-roman-curia_sp.html" TargetMode="External"/><Relationship Id="rId5" Type="http://schemas.openxmlformats.org/officeDocument/2006/relationships/endnotes" Target="endnotes.xml"/><Relationship Id="rId15" Type="http://schemas.openxmlformats.org/officeDocument/2006/relationships/hyperlink" Target="http://www.vatican.va/archive/ESL0020/__P3Z.HTM" TargetMode="External"/><Relationship Id="rId23" Type="http://schemas.openxmlformats.org/officeDocument/2006/relationships/hyperlink" Target="http://www.vatican.va/archive/ESL0020/__P3W.HTM" TargetMode="External"/><Relationship Id="rId28" Type="http://schemas.openxmlformats.org/officeDocument/2006/relationships/hyperlink" Target="http://www.vatican.va/archive/hist_councils/ii_vatican_council/documents/vat-ii_decree_19651028_christus-dominus_sp.html" TargetMode="External"/><Relationship Id="rId10" Type="http://schemas.openxmlformats.org/officeDocument/2006/relationships/hyperlink" Target="http://www.vatican.va/archive/ESL0020/__P2R.HTM" TargetMode="External"/><Relationship Id="rId19" Type="http://schemas.openxmlformats.org/officeDocument/2006/relationships/hyperlink" Target="http://www.vatican.va/archive/ESL0020/__P3W.HTM" TargetMode="External"/><Relationship Id="rId31" Type="http://schemas.openxmlformats.org/officeDocument/2006/relationships/hyperlink" Target="http://www.vatican.va/holy_father/john_paul_ii/apost_constitutions/documents/hf_jp-ii_apc_19880628_pastor-bonus-roman-curia_sp.html" TargetMode="External"/><Relationship Id="rId4" Type="http://schemas.openxmlformats.org/officeDocument/2006/relationships/footnotes" Target="footnotes.xml"/><Relationship Id="rId9" Type="http://schemas.openxmlformats.org/officeDocument/2006/relationships/hyperlink" Target="http://www.vatican.va/archive/hist_councils/ii_vatican_council/documents/vat-ii_const_19641121_lumen-gentium_sp.html" TargetMode="External"/><Relationship Id="rId14" Type="http://schemas.openxmlformats.org/officeDocument/2006/relationships/hyperlink" Target="http://www.vatican.va/archive/ESL0020/__P3W.HTM" TargetMode="External"/><Relationship Id="rId22" Type="http://schemas.openxmlformats.org/officeDocument/2006/relationships/hyperlink" Target="http://www.vatican.va/archive/ESL0020/__P3L.HTM" TargetMode="External"/><Relationship Id="rId27" Type="http://schemas.openxmlformats.org/officeDocument/2006/relationships/hyperlink" Target="http://www.vatican.va/holy_father/john_paul_ii/apost_constitutions/documents/hf_jp-ii_apc_19880628_pastor-bonus-index_sp.html" TargetMode="External"/><Relationship Id="rId30" Type="http://schemas.openxmlformats.org/officeDocument/2006/relationships/hyperlink" Target="http://www.vatican.va/archive/hist_councils/ii_vatican_council/documents/vat-ii_const_19631204_sacrosanctum-concilium_sp.html"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2317</Words>
  <Characters>12745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2014-07-14T09:21:00Z</dcterms:created>
  <dcterms:modified xsi:type="dcterms:W3CDTF">2014-07-23T11:25:00Z</dcterms:modified>
</cp:coreProperties>
</file>