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062B2CFE" w:rsidR="00706B72" w:rsidRDefault="00F66F0F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10D9DB55" w:rsidR="00646010" w:rsidRDefault="0096018B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F66F0F">
        <w:rPr>
          <w:rFonts w:ascii="Arial" w:hAnsi="Arial" w:cs="Arial"/>
          <w:b/>
          <w:sz w:val="36"/>
          <w:szCs w:val="36"/>
        </w:rPr>
        <w:t>1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4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4E81EDDF" w:rsidR="001A5D20" w:rsidRPr="001A5D20" w:rsidRDefault="00F66F0F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El obispo don Santos, inaugura la exposición “ARTIFEX. Ingeniería romana en España”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9976E86" w14:textId="00930145" w:rsidR="00EF7069" w:rsidRDefault="0096018B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jueves</w:t>
      </w:r>
      <w:r w:rsidRPr="003823B3">
        <w:rPr>
          <w:rFonts w:ascii="Arial" w:hAnsi="Arial" w:cs="Arial"/>
          <w:sz w:val="24"/>
          <w:szCs w:val="24"/>
        </w:rPr>
        <w:t>, 21 de abril, a la 13.00h. en el Convento de San Francisco</w:t>
      </w:r>
      <w:r>
        <w:rPr>
          <w:rFonts w:ascii="Arial" w:hAnsi="Arial" w:cs="Arial"/>
          <w:sz w:val="24"/>
          <w:szCs w:val="24"/>
        </w:rPr>
        <w:t xml:space="preserve"> de Santo Domingo de la Calzada, </w:t>
      </w:r>
      <w:r w:rsidR="00F66F0F">
        <w:rPr>
          <w:rFonts w:ascii="Arial" w:hAnsi="Arial" w:cs="Arial"/>
          <w:sz w:val="24"/>
          <w:szCs w:val="24"/>
        </w:rPr>
        <w:t>ha tenido</w:t>
      </w:r>
      <w:r>
        <w:rPr>
          <w:rFonts w:ascii="Arial" w:hAnsi="Arial" w:cs="Arial"/>
          <w:sz w:val="24"/>
          <w:szCs w:val="24"/>
        </w:rPr>
        <w:t xml:space="preserve"> lugar la inauguración de la exposición </w:t>
      </w:r>
      <w:proofErr w:type="spellStart"/>
      <w:r w:rsidR="00CD6BAB" w:rsidRPr="00D330DF">
        <w:rPr>
          <w:rFonts w:ascii="Arial" w:hAnsi="Arial" w:cs="Arial"/>
          <w:i/>
          <w:iCs/>
          <w:sz w:val="24"/>
          <w:szCs w:val="24"/>
        </w:rPr>
        <w:t>Artifex</w:t>
      </w:r>
      <w:proofErr w:type="spellEnd"/>
      <w:r w:rsidR="00CD6BAB" w:rsidRPr="00D330DF">
        <w:rPr>
          <w:rFonts w:ascii="Arial" w:hAnsi="Arial" w:cs="Arial"/>
          <w:i/>
          <w:iCs/>
          <w:sz w:val="24"/>
          <w:szCs w:val="24"/>
        </w:rPr>
        <w:t>. Ingeniería romana en España</w:t>
      </w:r>
      <w:r w:rsidR="00CD6BAB">
        <w:rPr>
          <w:rFonts w:ascii="Arial" w:hAnsi="Arial" w:cs="Arial"/>
          <w:i/>
          <w:iCs/>
          <w:sz w:val="24"/>
          <w:szCs w:val="24"/>
        </w:rPr>
        <w:t>.</w:t>
      </w:r>
    </w:p>
    <w:p w14:paraId="09EEFF0B" w14:textId="08C060B2" w:rsidR="0096018B" w:rsidRDefault="0096018B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acto </w:t>
      </w:r>
      <w:r w:rsidR="00F66F0F">
        <w:rPr>
          <w:rFonts w:ascii="Arial" w:hAnsi="Arial" w:cs="Arial"/>
          <w:sz w:val="24"/>
          <w:szCs w:val="24"/>
        </w:rPr>
        <w:t>ha estado</w:t>
      </w:r>
      <w:r>
        <w:rPr>
          <w:rFonts w:ascii="Arial" w:hAnsi="Arial" w:cs="Arial"/>
          <w:sz w:val="24"/>
          <w:szCs w:val="24"/>
        </w:rPr>
        <w:t xml:space="preserve"> presidido por el obispo de la Diócesis de Calahorra y La Calzada-Logroño, don Santos Montoya, el abad de la Catedral de Santo Domingo de la Calzada, don Francisco José Suárez, la directora del Centro de Estudios y Experimentación de Obras Públicas (CEDEX), doña Áurea Perucho</w:t>
      </w:r>
      <w:r w:rsidR="00CE09AC">
        <w:rPr>
          <w:rFonts w:ascii="Arial" w:hAnsi="Arial" w:cs="Arial"/>
          <w:sz w:val="24"/>
          <w:szCs w:val="24"/>
        </w:rPr>
        <w:t xml:space="preserve">, el alcalde de Santo Domingo de la Calzada, don David Mena y </w:t>
      </w:r>
      <w:r w:rsidR="00D330DF">
        <w:rPr>
          <w:rFonts w:ascii="Arial" w:hAnsi="Arial" w:cs="Arial"/>
          <w:sz w:val="24"/>
          <w:szCs w:val="24"/>
        </w:rPr>
        <w:t xml:space="preserve">el </w:t>
      </w:r>
      <w:r w:rsidR="00CE09AC">
        <w:rPr>
          <w:rFonts w:ascii="Arial" w:hAnsi="Arial" w:cs="Arial"/>
          <w:sz w:val="24"/>
          <w:szCs w:val="24"/>
        </w:rPr>
        <w:t xml:space="preserve">director </w:t>
      </w:r>
      <w:r w:rsidR="001D246C">
        <w:rPr>
          <w:rFonts w:ascii="Arial" w:hAnsi="Arial" w:cs="Arial"/>
          <w:sz w:val="24"/>
          <w:szCs w:val="24"/>
        </w:rPr>
        <w:t>general de</w:t>
      </w:r>
      <w:r w:rsidR="00D330DF">
        <w:rPr>
          <w:rFonts w:ascii="Arial" w:hAnsi="Arial" w:cs="Arial"/>
          <w:sz w:val="24"/>
          <w:szCs w:val="24"/>
        </w:rPr>
        <w:t xml:space="preserve"> la Fundación Juanelo </w:t>
      </w:r>
      <w:proofErr w:type="spellStart"/>
      <w:r w:rsidR="00D330DF">
        <w:rPr>
          <w:rFonts w:ascii="Arial" w:hAnsi="Arial" w:cs="Arial"/>
          <w:sz w:val="24"/>
          <w:szCs w:val="24"/>
        </w:rPr>
        <w:t>Turriano</w:t>
      </w:r>
      <w:proofErr w:type="spellEnd"/>
      <w:r w:rsidR="00D330DF">
        <w:rPr>
          <w:rFonts w:ascii="Arial" w:hAnsi="Arial" w:cs="Arial"/>
          <w:sz w:val="24"/>
          <w:szCs w:val="24"/>
        </w:rPr>
        <w:t xml:space="preserve">, don </w:t>
      </w:r>
      <w:r w:rsidR="00CE09AC">
        <w:rPr>
          <w:rFonts w:ascii="Arial" w:hAnsi="Arial" w:cs="Arial"/>
          <w:sz w:val="24"/>
          <w:szCs w:val="24"/>
        </w:rPr>
        <w:t>Bernardo Revuelta</w:t>
      </w:r>
      <w:r w:rsidR="00D330DF">
        <w:rPr>
          <w:rFonts w:ascii="Arial" w:hAnsi="Arial" w:cs="Arial"/>
          <w:sz w:val="24"/>
          <w:szCs w:val="24"/>
        </w:rPr>
        <w:t xml:space="preserve">. </w:t>
      </w:r>
    </w:p>
    <w:p w14:paraId="55765462" w14:textId="24975738" w:rsidR="00D330DF" w:rsidRDefault="00F66F0F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prelado ha destacado en la inauguración que “es un placer que la Iglesia riojana, pueda contribuir </w:t>
      </w:r>
      <w:r w:rsidR="003823B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acercar este tipo de exposiciones a la sociedad, </w:t>
      </w:r>
      <w:r w:rsidR="003823B3">
        <w:rPr>
          <w:rFonts w:ascii="Arial" w:hAnsi="Arial" w:cs="Arial"/>
          <w:sz w:val="24"/>
          <w:szCs w:val="24"/>
        </w:rPr>
        <w:t xml:space="preserve">además de que Santo Domingo es el lugar propicio al ser el patrón de los ingenieros”. </w:t>
      </w:r>
    </w:p>
    <w:p w14:paraId="063588A8" w14:textId="2CA3AB0F" w:rsidR="003823B3" w:rsidRDefault="003823B3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Mons. Santos, ha valorado muy positivamente el convenio firmado con CEDEX para llevar a cabo tres exposiciones consecutivas en los próximos tres años en la ciudad calceatense. </w:t>
      </w:r>
    </w:p>
    <w:p w14:paraId="1DE63871" w14:textId="31947AF5" w:rsidR="00CE09AC" w:rsidRDefault="00CE09AC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exposición se podrá visitar en el Claustro del Convento de San Francisco hasta el mes de octubre. </w:t>
      </w:r>
    </w:p>
    <w:p w14:paraId="557EA00D" w14:textId="75CF08CF" w:rsidR="00D63D84" w:rsidRDefault="00D63D84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1D13B" w14:textId="77777777" w:rsidR="00D63D84" w:rsidRDefault="00D63D84" w:rsidP="00382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3A689" w14:textId="4F148ACA" w:rsidR="00D330DF" w:rsidRDefault="00D330DF" w:rsidP="00D63D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3D84">
        <w:rPr>
          <w:rFonts w:ascii="Arial" w:hAnsi="Arial" w:cs="Arial"/>
          <w:b/>
          <w:bCs/>
          <w:sz w:val="28"/>
          <w:szCs w:val="28"/>
        </w:rPr>
        <w:t>ARTIFEX. INGENIERÍA ROMANA EN ESPAÑA</w:t>
      </w:r>
    </w:p>
    <w:p w14:paraId="621D56B9" w14:textId="77777777" w:rsidR="00D63D84" w:rsidRPr="00D63D84" w:rsidRDefault="00D63D84" w:rsidP="00D63D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9EA6EB" w14:textId="2FE7D4A1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La exposición </w:t>
      </w:r>
      <w:proofErr w:type="spellStart"/>
      <w:r w:rsidRPr="00D330DF">
        <w:rPr>
          <w:rFonts w:ascii="Arial" w:hAnsi="Arial" w:cs="Arial"/>
          <w:i/>
          <w:iCs/>
          <w:sz w:val="24"/>
          <w:szCs w:val="24"/>
        </w:rPr>
        <w:t>Artifex</w:t>
      </w:r>
      <w:proofErr w:type="spellEnd"/>
      <w:r w:rsidRPr="00D330DF">
        <w:rPr>
          <w:rFonts w:ascii="Arial" w:hAnsi="Arial" w:cs="Arial"/>
          <w:i/>
          <w:iCs/>
          <w:sz w:val="24"/>
          <w:szCs w:val="24"/>
        </w:rPr>
        <w:t xml:space="preserve">. Ingeniería romana en España </w:t>
      </w:r>
      <w:r w:rsidRPr="00D330DF">
        <w:rPr>
          <w:rFonts w:ascii="Arial" w:hAnsi="Arial" w:cs="Arial"/>
          <w:sz w:val="24"/>
          <w:szCs w:val="24"/>
        </w:rPr>
        <w:t>pretende dar a conocer el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inmenso legado técnico del mundo romano, mostrando los saberes en diversos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campos de la tecnología y, de manera muy especial, sus aplicaciones a la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ingeniería civil en </w:t>
      </w:r>
      <w:r w:rsidRPr="00D330DF">
        <w:rPr>
          <w:rFonts w:ascii="Arial" w:hAnsi="Arial" w:cs="Arial"/>
          <w:i/>
          <w:iCs/>
          <w:sz w:val="24"/>
          <w:szCs w:val="24"/>
        </w:rPr>
        <w:t>Hispania</w:t>
      </w:r>
      <w:r w:rsidRPr="00D330DF">
        <w:rPr>
          <w:rFonts w:ascii="Arial" w:hAnsi="Arial" w:cs="Arial"/>
          <w:sz w:val="24"/>
          <w:szCs w:val="24"/>
        </w:rPr>
        <w:t>.</w:t>
      </w:r>
    </w:p>
    <w:p w14:paraId="39DB04EE" w14:textId="79260435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Se trata de una versión adaptada y reducida para la itinerancia de la muestra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homónima presentada, con notable acogida de público, en el Museo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Arqueológico Nacional de Madrid entre los meses de marzo y julio de 2002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en esta nueva etapa, se espera pueda llegar a más amplios sectores de la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población en las diferentes Comunidades Autónomas. El proyecto científico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original corrió a cargo de la Fundación Juanelo </w:t>
      </w:r>
      <w:proofErr w:type="spellStart"/>
      <w:r w:rsidRPr="00D330DF">
        <w:rPr>
          <w:rFonts w:ascii="Arial" w:hAnsi="Arial" w:cs="Arial"/>
          <w:sz w:val="24"/>
          <w:szCs w:val="24"/>
        </w:rPr>
        <w:t>Turriano</w:t>
      </w:r>
      <w:proofErr w:type="spellEnd"/>
      <w:r w:rsidRPr="00D330DF">
        <w:rPr>
          <w:rFonts w:ascii="Arial" w:hAnsi="Arial" w:cs="Arial"/>
          <w:sz w:val="24"/>
          <w:szCs w:val="24"/>
        </w:rPr>
        <w:t>, actuando como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comisario el catedrático de Estética e Historia de la Ingeniería Civil de la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Universidad de Granada, Ignacio González Tascón. Fruto de la investigación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entonces realizada y de la colaboración de diversos especialistas en la materia,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se editó en 2002 el correspondiente catálogo.</w:t>
      </w:r>
    </w:p>
    <w:p w14:paraId="0A085DCB" w14:textId="64D8C179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La organización se ha llevado a cabo conjuntamente por el Centro de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Históricos de Obras Públicas y Urbanismo (CEHOPU) del CEDEX, la catedral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de Santo Domingo de la Calzada y la Fundación Juanelo </w:t>
      </w:r>
      <w:proofErr w:type="spellStart"/>
      <w:r w:rsidRPr="00D330DF">
        <w:rPr>
          <w:rFonts w:ascii="Arial" w:hAnsi="Arial" w:cs="Arial"/>
          <w:sz w:val="24"/>
          <w:szCs w:val="24"/>
        </w:rPr>
        <w:t>Turriano</w:t>
      </w:r>
      <w:proofErr w:type="spellEnd"/>
      <w:r w:rsidRPr="00D330DF">
        <w:rPr>
          <w:rFonts w:ascii="Arial" w:hAnsi="Arial" w:cs="Arial"/>
          <w:sz w:val="24"/>
          <w:szCs w:val="24"/>
        </w:rPr>
        <w:t>.</w:t>
      </w:r>
    </w:p>
    <w:p w14:paraId="6E8922D8" w14:textId="15D409EE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La inauguración de esta exposición itinerante está prevista el próximo jueves 21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de abril en las salas de exposición del Claustro del Convento de San Francisco,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en Santo Domingo de la Calzada.</w:t>
      </w:r>
    </w:p>
    <w:p w14:paraId="43D017A4" w14:textId="563661FE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La presentación de los contenidos de la exposición se realiza a través de cinco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áreas temáticas en las que se muestran muchas de las grandes obras de la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ingeniería romana en </w:t>
      </w:r>
      <w:r w:rsidRPr="00D330DF">
        <w:rPr>
          <w:rFonts w:ascii="Arial" w:hAnsi="Arial" w:cs="Arial"/>
          <w:i/>
          <w:iCs/>
          <w:sz w:val="24"/>
          <w:szCs w:val="24"/>
        </w:rPr>
        <w:t xml:space="preserve">Hispania </w:t>
      </w:r>
      <w:r w:rsidRPr="00D330DF">
        <w:rPr>
          <w:rFonts w:ascii="Arial" w:hAnsi="Arial" w:cs="Arial"/>
          <w:sz w:val="24"/>
          <w:szCs w:val="24"/>
        </w:rPr>
        <w:t>junto con las innovaciones y avances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experimentados en la época en otros campos de la técnica tales como la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minería, la metalurgia o determinadas actividades preindustriales.</w:t>
      </w:r>
    </w:p>
    <w:p w14:paraId="4EE6AEED" w14:textId="21DFA301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Estas áreas están integradas por paneles mixtos de texto e imagen que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incorporan un variado repertorio fotográfico y documental. A ello se une un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nutrido grupo de maquetas de la colección de CEHOPU y de objetos ilustrativos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de las diferentes técnicas, mecanismos y obras expuestas.</w:t>
      </w:r>
    </w:p>
    <w:p w14:paraId="0EA29FE4" w14:textId="165D60F4" w:rsid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lastRenderedPageBreak/>
        <w:t>El modo de presentación, riguroso, ameno y didáctico, pretende interesar por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igual al técnico y al profano en la materia, partiendo de la base de que se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contemplan aspectos en general poco difundidos del legado romano.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99FFB4" w14:textId="77777777" w:rsidR="00470D78" w:rsidRDefault="00470D78" w:rsidP="00D63D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14F3DC" w14:textId="31F37C13" w:rsidR="00D330DF" w:rsidRDefault="00D330DF" w:rsidP="00D63D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30DF">
        <w:rPr>
          <w:rFonts w:ascii="Arial" w:hAnsi="Arial" w:cs="Arial"/>
          <w:b/>
          <w:bCs/>
          <w:sz w:val="24"/>
          <w:szCs w:val="24"/>
        </w:rPr>
        <w:t>CONTENIDOS DE LA EXPOSICIÓN</w:t>
      </w:r>
    </w:p>
    <w:p w14:paraId="64EBBD04" w14:textId="77777777" w:rsidR="00470D78" w:rsidRPr="00D330DF" w:rsidRDefault="00470D78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CC03C0" w14:textId="608DCAF5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Las cinco áreas alrededor de las cuales se organiza y presenta la exposición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están dedicadas respectivamente a:</w:t>
      </w:r>
    </w:p>
    <w:p w14:paraId="05B8A715" w14:textId="77777777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- </w:t>
      </w:r>
      <w:r w:rsidRPr="00D330DF">
        <w:rPr>
          <w:rFonts w:ascii="Arial" w:hAnsi="Arial" w:cs="Arial"/>
          <w:i/>
          <w:iCs/>
          <w:sz w:val="24"/>
          <w:szCs w:val="24"/>
        </w:rPr>
        <w:t>Área I: La construcción: materiales y maquinaria</w:t>
      </w:r>
    </w:p>
    <w:p w14:paraId="17EE8B4D" w14:textId="77777777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- </w:t>
      </w:r>
      <w:r w:rsidRPr="00D330DF">
        <w:rPr>
          <w:rFonts w:ascii="Arial" w:hAnsi="Arial" w:cs="Arial"/>
          <w:i/>
          <w:iCs/>
          <w:sz w:val="24"/>
          <w:szCs w:val="24"/>
        </w:rPr>
        <w:t>Área II: Las comunicaciones: calzadas, puentes, puertos</w:t>
      </w:r>
    </w:p>
    <w:p w14:paraId="3562C511" w14:textId="77777777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- </w:t>
      </w:r>
      <w:r w:rsidRPr="00D330DF">
        <w:rPr>
          <w:rFonts w:ascii="Arial" w:hAnsi="Arial" w:cs="Arial"/>
          <w:i/>
          <w:iCs/>
          <w:sz w:val="24"/>
          <w:szCs w:val="24"/>
        </w:rPr>
        <w:t>Área III: La ciudad y su equipamiento</w:t>
      </w:r>
    </w:p>
    <w:p w14:paraId="292EEA94" w14:textId="77777777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- </w:t>
      </w:r>
      <w:r w:rsidRPr="00D330DF">
        <w:rPr>
          <w:rFonts w:ascii="Arial" w:hAnsi="Arial" w:cs="Arial"/>
          <w:i/>
          <w:iCs/>
          <w:sz w:val="24"/>
          <w:szCs w:val="24"/>
        </w:rPr>
        <w:t>Área IV: Minería y metalurgia</w:t>
      </w:r>
    </w:p>
    <w:p w14:paraId="07E9FB99" w14:textId="77777777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- </w:t>
      </w:r>
      <w:r w:rsidRPr="00D330DF">
        <w:rPr>
          <w:rFonts w:ascii="Arial" w:hAnsi="Arial" w:cs="Arial"/>
          <w:i/>
          <w:iCs/>
          <w:sz w:val="24"/>
          <w:szCs w:val="24"/>
        </w:rPr>
        <w:t>Área V: Técnicas y artes industriales</w:t>
      </w:r>
    </w:p>
    <w:p w14:paraId="36FD9215" w14:textId="2937985B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La primera de las áreas, con el título </w:t>
      </w:r>
      <w:r w:rsidRPr="00D330DF">
        <w:rPr>
          <w:rFonts w:ascii="Arial" w:hAnsi="Arial" w:cs="Arial"/>
          <w:i/>
          <w:iCs/>
          <w:sz w:val="24"/>
          <w:szCs w:val="24"/>
        </w:rPr>
        <w:t>La construcción: materiales y maquinaria</w:t>
      </w:r>
      <w:r w:rsidRPr="00D330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contempla las principales técnicas y materiales empleados por los</w:t>
      </w:r>
      <w:r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constructores romanos, deteniéndose en las grandes innovaciones como el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empleo masivo del hormigón de cal, la construcción de arcos y bóvedas con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ayuda de cimbras provisionales de madera y, asimismo, en ejemplos de la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maquinaria e instrumental utilizado en las obras públicas, desde las máquinas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más sencillas como tornos y cabrestantes hasta las grandes grúas o cabrias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accionadas por ruedas de pisar.</w:t>
      </w:r>
    </w:p>
    <w:p w14:paraId="2F5FEC65" w14:textId="77777777" w:rsidR="001F643A" w:rsidRDefault="001F643A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E3BFB3" w14:textId="58D5DD21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En el área II, </w:t>
      </w:r>
      <w:r w:rsidRPr="00D330DF">
        <w:rPr>
          <w:rFonts w:ascii="Arial" w:hAnsi="Arial" w:cs="Arial"/>
          <w:i/>
          <w:iCs/>
          <w:sz w:val="24"/>
          <w:szCs w:val="24"/>
        </w:rPr>
        <w:t xml:space="preserve">Las comunicaciones: calzadas, puentes y puertos </w:t>
      </w:r>
      <w:r w:rsidRPr="00D330DF">
        <w:rPr>
          <w:rFonts w:ascii="Arial" w:hAnsi="Arial" w:cs="Arial"/>
          <w:sz w:val="24"/>
          <w:szCs w:val="24"/>
        </w:rPr>
        <w:t>se trata de la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construcción de infraestructuras para el transporte, tanto terrestre como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marítimo; infraestructuras que hicieron posible la expansión militar, comercial,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administrativa y cultural de Roma y que aquí se exponen con el acento puesto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en los aspectos técnicos y constructivos, con especial detenimiento en los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puentes, entre los que se muestran como ejemplo los de Mérida y Alcántara.</w:t>
      </w:r>
    </w:p>
    <w:p w14:paraId="2F06DB34" w14:textId="2D80124C" w:rsidR="00D330DF" w:rsidRPr="00D330DF" w:rsidRDefault="00D330DF" w:rsidP="001F6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>En el campo de las obras marítimas, en las costas españolas se conservan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importantes </w:t>
      </w:r>
      <w:proofErr w:type="spellStart"/>
      <w:r w:rsidRPr="00D330DF">
        <w:rPr>
          <w:rFonts w:ascii="Arial" w:hAnsi="Arial" w:cs="Arial"/>
          <w:sz w:val="24"/>
          <w:szCs w:val="24"/>
        </w:rPr>
        <w:t>vestjgios</w:t>
      </w:r>
      <w:proofErr w:type="spellEnd"/>
      <w:r w:rsidRPr="00D330DF">
        <w:rPr>
          <w:rFonts w:ascii="Arial" w:hAnsi="Arial" w:cs="Arial"/>
          <w:sz w:val="24"/>
          <w:szCs w:val="24"/>
        </w:rPr>
        <w:t xml:space="preserve"> portuarios de la Antigüedad, como el muelle de hormigón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de Ampurias o la coruñesa Torre de Hércules, reformada durante la Edad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Moderna.</w:t>
      </w:r>
    </w:p>
    <w:p w14:paraId="3F9346CE" w14:textId="77777777" w:rsidR="001F643A" w:rsidRDefault="001F643A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AF411C3" w14:textId="0F09B1B5" w:rsidR="00D330DF" w:rsidRPr="001F643A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i/>
          <w:iCs/>
          <w:sz w:val="24"/>
          <w:szCs w:val="24"/>
        </w:rPr>
        <w:lastRenderedPageBreak/>
        <w:t xml:space="preserve">La ciudad y su equipamiento, </w:t>
      </w:r>
      <w:r w:rsidRPr="00D330DF">
        <w:rPr>
          <w:rFonts w:ascii="Arial" w:hAnsi="Arial" w:cs="Arial"/>
          <w:sz w:val="24"/>
          <w:szCs w:val="24"/>
        </w:rPr>
        <w:t>tercera de las áreas, trata fundamentalmente el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tema del abastecimiento de agua a las poblaciones, incluidos los sistemas de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distribución del agua en la ciudad y las obras de saneamiento urbano. Los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ingenieros romanos desplegaron toda su maestría en la construcción de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grandes traídas públicas de agua -los acueductos-, que implican el concierto de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una variedad de obras y soluciones técnicas que se muestran en este apartado: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nivelaciones, construcción de azudes y presas, canales cubiertos - con tramos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elevados sobre arquerías-, sifones, columnarias, depósitos, etc. Obras entre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las que se cuentan algunas de las más célebres de la ingeniería romana en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i/>
          <w:iCs/>
          <w:sz w:val="24"/>
          <w:szCs w:val="24"/>
        </w:rPr>
        <w:t xml:space="preserve">Hispania, </w:t>
      </w:r>
      <w:r w:rsidRPr="00D330DF">
        <w:rPr>
          <w:rFonts w:ascii="Arial" w:hAnsi="Arial" w:cs="Arial"/>
          <w:sz w:val="24"/>
          <w:szCs w:val="24"/>
        </w:rPr>
        <w:t>como la presa de Proserpina o el acueducto de Segovia</w:t>
      </w:r>
      <w:r w:rsidRPr="00D330DF">
        <w:rPr>
          <w:rFonts w:ascii="Arial" w:hAnsi="Arial" w:cs="Arial"/>
          <w:i/>
          <w:iCs/>
          <w:sz w:val="24"/>
          <w:szCs w:val="24"/>
        </w:rPr>
        <w:t>.</w:t>
      </w:r>
    </w:p>
    <w:p w14:paraId="6A9AC166" w14:textId="77777777" w:rsidR="001F643A" w:rsidRDefault="001F643A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682DE6" w14:textId="6CA9F45C" w:rsidR="00D330DF" w:rsidRPr="00D330DF" w:rsidRDefault="00D330DF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En el Área IV, dedicada a la </w:t>
      </w:r>
      <w:r w:rsidRPr="00D330DF">
        <w:rPr>
          <w:rFonts w:ascii="Arial" w:hAnsi="Arial" w:cs="Arial"/>
          <w:i/>
          <w:iCs/>
          <w:sz w:val="24"/>
          <w:szCs w:val="24"/>
        </w:rPr>
        <w:t xml:space="preserve">Minería y Metalurgia, </w:t>
      </w:r>
      <w:r w:rsidRPr="00D330DF">
        <w:rPr>
          <w:rFonts w:ascii="Arial" w:hAnsi="Arial" w:cs="Arial"/>
          <w:sz w:val="24"/>
          <w:szCs w:val="24"/>
        </w:rPr>
        <w:t>se expone el panorama de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las principales explotaciones de minerales metálicos de la Península Ibérica</w:t>
      </w:r>
      <w:r w:rsidRPr="00D330DF">
        <w:rPr>
          <w:rFonts w:ascii="Arial" w:hAnsi="Arial" w:cs="Arial"/>
          <w:i/>
          <w:iCs/>
          <w:sz w:val="24"/>
          <w:szCs w:val="24"/>
        </w:rPr>
        <w:t>,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con detenimiento en algunos de los procedimientos empleados en su obtención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 xml:space="preserve">-como el sistema de </w:t>
      </w:r>
      <w:r w:rsidRPr="00D330DF">
        <w:rPr>
          <w:rFonts w:ascii="Arial" w:hAnsi="Arial" w:cs="Arial"/>
          <w:i/>
          <w:iCs/>
          <w:sz w:val="24"/>
          <w:szCs w:val="24"/>
        </w:rPr>
        <w:t xml:space="preserve">ruina </w:t>
      </w:r>
      <w:proofErr w:type="spellStart"/>
      <w:r w:rsidRPr="00D330DF">
        <w:rPr>
          <w:rFonts w:ascii="Arial" w:hAnsi="Arial" w:cs="Arial"/>
          <w:i/>
          <w:iCs/>
          <w:sz w:val="24"/>
          <w:szCs w:val="24"/>
        </w:rPr>
        <w:t>montium</w:t>
      </w:r>
      <w:proofErr w:type="spellEnd"/>
      <w:r w:rsidRPr="00D330DF">
        <w:rPr>
          <w:rFonts w:ascii="Arial" w:hAnsi="Arial" w:cs="Arial"/>
          <w:i/>
          <w:iCs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aplicado a la minería del oro-, así como en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su elaboración, caso de las técnicas de fundición de bronce a la cera perdida,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generalizadas en la estatuaria, y aplicadas asimismo a la construcción de algunas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máquinas.</w:t>
      </w:r>
    </w:p>
    <w:p w14:paraId="41C681D7" w14:textId="77777777" w:rsidR="001F643A" w:rsidRDefault="001F643A" w:rsidP="00D330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AF6BEE" w14:textId="4E684D35" w:rsidR="00D330DF" w:rsidRPr="001F643A" w:rsidRDefault="00D330DF" w:rsidP="001F6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0DF">
        <w:rPr>
          <w:rFonts w:ascii="Arial" w:hAnsi="Arial" w:cs="Arial"/>
          <w:sz w:val="24"/>
          <w:szCs w:val="24"/>
        </w:rPr>
        <w:t xml:space="preserve">En el área V se trata finalmente de determinadas </w:t>
      </w:r>
      <w:r w:rsidRPr="00D330DF">
        <w:rPr>
          <w:rFonts w:ascii="Arial" w:hAnsi="Arial" w:cs="Arial"/>
          <w:i/>
          <w:iCs/>
          <w:sz w:val="24"/>
          <w:szCs w:val="24"/>
        </w:rPr>
        <w:t>Técnicas y artes industriales</w:t>
      </w:r>
      <w:r w:rsidRPr="00D330DF">
        <w:rPr>
          <w:rFonts w:ascii="Arial" w:hAnsi="Arial" w:cs="Arial"/>
          <w:sz w:val="24"/>
          <w:szCs w:val="24"/>
        </w:rPr>
        <w:t>,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desde la industria de salazones – que contó con importantes factorías en las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costas del mediodía y el levante peninsular-, a la fabricación del vidrio, la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elaboración de tintes o la transformación de productos agrícolas. Estas técnicas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resultan de particular interés por cuanto nos acercan a algunos de los usos y</w:t>
      </w:r>
      <w:r w:rsidR="001F643A">
        <w:rPr>
          <w:rFonts w:ascii="Arial" w:hAnsi="Arial" w:cs="Arial"/>
          <w:sz w:val="24"/>
          <w:szCs w:val="24"/>
        </w:rPr>
        <w:t xml:space="preserve"> </w:t>
      </w:r>
      <w:r w:rsidRPr="00D330DF">
        <w:rPr>
          <w:rFonts w:ascii="Arial" w:hAnsi="Arial" w:cs="Arial"/>
          <w:sz w:val="24"/>
          <w:szCs w:val="24"/>
        </w:rPr>
        <w:t>costumbres cotidianos de la civilización romana.</w:t>
      </w:r>
    </w:p>
    <w:sectPr w:rsidR="00D330DF" w:rsidRPr="001F643A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F7C4" w14:textId="77777777" w:rsidR="00A34D26" w:rsidRDefault="00A34D26" w:rsidP="00DF20E9">
      <w:pPr>
        <w:spacing w:after="0" w:line="240" w:lineRule="auto"/>
      </w:pPr>
      <w:r>
        <w:separator/>
      </w:r>
    </w:p>
  </w:endnote>
  <w:endnote w:type="continuationSeparator" w:id="0">
    <w:p w14:paraId="403D399E" w14:textId="77777777" w:rsidR="00A34D26" w:rsidRDefault="00A34D26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B4BF" w14:textId="77777777" w:rsidR="00A34D26" w:rsidRDefault="00A34D26" w:rsidP="00DF20E9">
      <w:pPr>
        <w:spacing w:after="0" w:line="240" w:lineRule="auto"/>
      </w:pPr>
      <w:r>
        <w:separator/>
      </w:r>
    </w:p>
  </w:footnote>
  <w:footnote w:type="continuationSeparator" w:id="0">
    <w:p w14:paraId="744DBB30" w14:textId="77777777" w:rsidR="00A34D26" w:rsidRDefault="00A34D26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5D91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246C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67D47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81466"/>
    <w:rsid w:val="003823B3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4997"/>
    <w:rsid w:val="00456F37"/>
    <w:rsid w:val="00462A0B"/>
    <w:rsid w:val="004637DC"/>
    <w:rsid w:val="00464047"/>
    <w:rsid w:val="00470D78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7EA"/>
    <w:rsid w:val="007F4C7F"/>
    <w:rsid w:val="00803E89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34D26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86EFA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D6BAB"/>
    <w:rsid w:val="00CE09AC"/>
    <w:rsid w:val="00CE2C06"/>
    <w:rsid w:val="00CF04F6"/>
    <w:rsid w:val="00CF5045"/>
    <w:rsid w:val="00D16DC5"/>
    <w:rsid w:val="00D32811"/>
    <w:rsid w:val="00D330DF"/>
    <w:rsid w:val="00D34DAD"/>
    <w:rsid w:val="00D478EB"/>
    <w:rsid w:val="00D50ED7"/>
    <w:rsid w:val="00D5460F"/>
    <w:rsid w:val="00D60EED"/>
    <w:rsid w:val="00D63D84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6F0F"/>
    <w:rsid w:val="00F76CAF"/>
    <w:rsid w:val="00F77545"/>
    <w:rsid w:val="00F92CBB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9</cp:revision>
  <cp:lastPrinted>2022-04-21T09:57:00Z</cp:lastPrinted>
  <dcterms:created xsi:type="dcterms:W3CDTF">2022-04-21T09:40:00Z</dcterms:created>
  <dcterms:modified xsi:type="dcterms:W3CDTF">2022-04-21T11:55:00Z</dcterms:modified>
</cp:coreProperties>
</file>